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73A2E" w14:textId="61AF33AF" w:rsidR="00BF20F4" w:rsidRPr="00BF20F4" w:rsidRDefault="00EE1209" w:rsidP="00BF20F4">
      <w:pPr>
        <w:spacing w:after="100" w:afterAutospacing="1" w:line="240" w:lineRule="auto"/>
        <w:rPr>
          <w:rFonts w:cstheme="minorHAnsi"/>
          <w:b/>
          <w:bCs/>
          <w:color w:val="000000"/>
          <w:sz w:val="28"/>
          <w:szCs w:val="28"/>
          <w:lang w:val="en-US"/>
        </w:rPr>
      </w:pPr>
      <w:r>
        <w:rPr>
          <w:rFonts w:cstheme="minorHAnsi"/>
          <w:b/>
          <w:bCs/>
          <w:color w:val="000000"/>
          <w:sz w:val="28"/>
          <w:szCs w:val="28"/>
          <w:lang w:val="en-US"/>
        </w:rPr>
        <w:t>C</w:t>
      </w:r>
      <w:r w:rsidRPr="00BF20F4">
        <w:rPr>
          <w:rFonts w:cstheme="minorHAnsi"/>
          <w:b/>
          <w:bCs/>
          <w:color w:val="000000"/>
          <w:sz w:val="28"/>
          <w:szCs w:val="28"/>
          <w:lang w:val="en-US"/>
        </w:rPr>
        <w:t xml:space="preserve">ochrane </w:t>
      </w:r>
      <w:r>
        <w:rPr>
          <w:rFonts w:cstheme="minorHAnsi"/>
          <w:b/>
          <w:bCs/>
          <w:color w:val="000000"/>
          <w:sz w:val="28"/>
          <w:szCs w:val="28"/>
          <w:lang w:val="en-US"/>
        </w:rPr>
        <w:t>H</w:t>
      </w:r>
      <w:r w:rsidRPr="00BF20F4">
        <w:rPr>
          <w:rFonts w:cstheme="minorHAnsi"/>
          <w:b/>
          <w:bCs/>
          <w:color w:val="000000"/>
          <w:sz w:val="28"/>
          <w:szCs w:val="28"/>
          <w:lang w:val="en-US"/>
        </w:rPr>
        <w:t>epato-</w:t>
      </w:r>
      <w:r>
        <w:rPr>
          <w:rFonts w:cstheme="minorHAnsi"/>
          <w:b/>
          <w:bCs/>
          <w:color w:val="000000"/>
          <w:sz w:val="28"/>
          <w:szCs w:val="28"/>
          <w:lang w:val="en-US"/>
        </w:rPr>
        <w:t>B</w:t>
      </w:r>
      <w:r w:rsidRPr="00BF20F4">
        <w:rPr>
          <w:rFonts w:cstheme="minorHAnsi"/>
          <w:b/>
          <w:bCs/>
          <w:color w:val="000000"/>
          <w:sz w:val="28"/>
          <w:szCs w:val="28"/>
          <w:lang w:val="en-US"/>
        </w:rPr>
        <w:t xml:space="preserve">iliary </w:t>
      </w:r>
      <w:r>
        <w:rPr>
          <w:rFonts w:cstheme="minorHAnsi"/>
          <w:b/>
          <w:bCs/>
          <w:color w:val="000000"/>
          <w:sz w:val="28"/>
          <w:szCs w:val="28"/>
          <w:lang w:val="en-US"/>
        </w:rPr>
        <w:t>G</w:t>
      </w:r>
      <w:r w:rsidRPr="00BF20F4">
        <w:rPr>
          <w:rFonts w:cstheme="minorHAnsi"/>
          <w:b/>
          <w:bCs/>
          <w:color w:val="000000"/>
          <w:sz w:val="28"/>
          <w:szCs w:val="28"/>
          <w:lang w:val="en-US"/>
        </w:rPr>
        <w:t>roup (</w:t>
      </w:r>
      <w:r>
        <w:rPr>
          <w:rFonts w:cstheme="minorHAnsi"/>
          <w:b/>
          <w:bCs/>
          <w:color w:val="000000"/>
          <w:sz w:val="28"/>
          <w:szCs w:val="28"/>
          <w:lang w:val="en-US"/>
        </w:rPr>
        <w:t>CHBG</w:t>
      </w:r>
      <w:r w:rsidRPr="00BF20F4">
        <w:rPr>
          <w:rFonts w:cstheme="minorHAnsi"/>
          <w:b/>
          <w:bCs/>
          <w:color w:val="000000"/>
          <w:sz w:val="28"/>
          <w:szCs w:val="28"/>
          <w:lang w:val="en-US"/>
        </w:rPr>
        <w:t xml:space="preserve">) </w:t>
      </w:r>
      <w:r>
        <w:rPr>
          <w:rFonts w:cstheme="minorHAnsi"/>
          <w:b/>
          <w:bCs/>
          <w:color w:val="000000"/>
          <w:sz w:val="28"/>
          <w:szCs w:val="28"/>
          <w:lang w:val="en-US"/>
        </w:rPr>
        <w:t>P</w:t>
      </w:r>
      <w:r w:rsidRPr="00BF20F4">
        <w:rPr>
          <w:rFonts w:cstheme="minorHAnsi"/>
          <w:b/>
          <w:bCs/>
          <w:color w:val="000000"/>
          <w:sz w:val="28"/>
          <w:szCs w:val="28"/>
          <w:lang w:val="en-US"/>
        </w:rPr>
        <w:t>ublications on the</w:t>
      </w:r>
      <w:r>
        <w:rPr>
          <w:rFonts w:cstheme="minorHAnsi"/>
          <w:b/>
          <w:bCs/>
          <w:color w:val="000000"/>
          <w:sz w:val="28"/>
          <w:szCs w:val="28"/>
          <w:lang w:val="en-US"/>
        </w:rPr>
        <w:t xml:space="preserve"> C</w:t>
      </w:r>
      <w:r w:rsidRPr="00BF20F4">
        <w:rPr>
          <w:rFonts w:cstheme="minorHAnsi"/>
          <w:b/>
          <w:bCs/>
          <w:color w:val="000000"/>
          <w:sz w:val="28"/>
          <w:szCs w:val="28"/>
          <w:lang w:val="en-US"/>
        </w:rPr>
        <w:t xml:space="preserve">ochrane </w:t>
      </w:r>
      <w:r>
        <w:rPr>
          <w:rFonts w:cstheme="minorHAnsi"/>
          <w:b/>
          <w:bCs/>
          <w:color w:val="000000"/>
          <w:sz w:val="28"/>
          <w:szCs w:val="28"/>
          <w:lang w:val="en-US"/>
        </w:rPr>
        <w:t>D</w:t>
      </w:r>
      <w:r w:rsidRPr="00BF20F4">
        <w:rPr>
          <w:rFonts w:cstheme="minorHAnsi"/>
          <w:b/>
          <w:bCs/>
          <w:color w:val="000000"/>
          <w:sz w:val="28"/>
          <w:szCs w:val="28"/>
          <w:lang w:val="en-US"/>
        </w:rPr>
        <w:t xml:space="preserve">atabase of </w:t>
      </w:r>
      <w:r>
        <w:rPr>
          <w:rFonts w:cstheme="minorHAnsi"/>
          <w:b/>
          <w:bCs/>
          <w:color w:val="000000"/>
          <w:sz w:val="28"/>
          <w:szCs w:val="28"/>
          <w:lang w:val="en-US"/>
        </w:rPr>
        <w:t>S</w:t>
      </w:r>
      <w:r w:rsidRPr="00BF20F4">
        <w:rPr>
          <w:rFonts w:cstheme="minorHAnsi"/>
          <w:b/>
          <w:bCs/>
          <w:color w:val="000000"/>
          <w:sz w:val="28"/>
          <w:szCs w:val="28"/>
          <w:lang w:val="en-US"/>
        </w:rPr>
        <w:t xml:space="preserve">ystematic </w:t>
      </w:r>
      <w:r>
        <w:rPr>
          <w:rFonts w:cstheme="minorHAnsi"/>
          <w:b/>
          <w:bCs/>
          <w:color w:val="000000"/>
          <w:sz w:val="28"/>
          <w:szCs w:val="28"/>
          <w:lang w:val="en-US"/>
        </w:rPr>
        <w:t>R</w:t>
      </w:r>
      <w:r w:rsidRPr="00BF20F4">
        <w:rPr>
          <w:rFonts w:cstheme="minorHAnsi"/>
          <w:b/>
          <w:bCs/>
          <w:color w:val="000000"/>
          <w:sz w:val="28"/>
          <w:szCs w:val="28"/>
          <w:lang w:val="en-US"/>
        </w:rPr>
        <w:t>eviews (</w:t>
      </w:r>
      <w:r>
        <w:rPr>
          <w:rFonts w:cstheme="minorHAnsi"/>
          <w:b/>
          <w:bCs/>
          <w:color w:val="000000"/>
          <w:sz w:val="28"/>
          <w:szCs w:val="28"/>
          <w:lang w:val="en-US"/>
        </w:rPr>
        <w:t>CDSR</w:t>
      </w:r>
      <w:r w:rsidRPr="00BF20F4">
        <w:rPr>
          <w:rFonts w:cstheme="minorHAnsi"/>
          <w:b/>
          <w:bCs/>
          <w:color w:val="000000"/>
          <w:sz w:val="28"/>
          <w:szCs w:val="28"/>
          <w:lang w:val="en-US"/>
        </w:rPr>
        <w:t xml:space="preserve">) </w:t>
      </w:r>
      <w:r>
        <w:rPr>
          <w:rFonts w:cstheme="minorHAnsi"/>
          <w:b/>
          <w:bCs/>
          <w:color w:val="000000"/>
          <w:sz w:val="28"/>
          <w:szCs w:val="28"/>
          <w:lang w:val="en-US"/>
        </w:rPr>
        <w:t xml:space="preserve">in </w:t>
      </w:r>
      <w:r w:rsidRPr="00BF20F4">
        <w:rPr>
          <w:rFonts w:cstheme="minorHAnsi"/>
          <w:b/>
          <w:bCs/>
          <w:color w:val="000000"/>
          <w:sz w:val="28"/>
          <w:szCs w:val="28"/>
          <w:lang w:val="en-US"/>
        </w:rPr>
        <w:t>the</w:t>
      </w:r>
      <w:r>
        <w:rPr>
          <w:rFonts w:cstheme="minorHAnsi"/>
          <w:b/>
          <w:bCs/>
          <w:color w:val="000000"/>
          <w:sz w:val="28"/>
          <w:szCs w:val="28"/>
          <w:lang w:val="en-US"/>
        </w:rPr>
        <w:t xml:space="preserve"> C</w:t>
      </w:r>
      <w:r w:rsidRPr="00BF20F4">
        <w:rPr>
          <w:rFonts w:cstheme="minorHAnsi"/>
          <w:b/>
          <w:bCs/>
          <w:color w:val="000000"/>
          <w:sz w:val="28"/>
          <w:szCs w:val="28"/>
          <w:lang w:val="en-US"/>
        </w:rPr>
        <w:t xml:space="preserve">ochrane </w:t>
      </w:r>
      <w:r>
        <w:rPr>
          <w:rFonts w:cstheme="minorHAnsi"/>
          <w:b/>
          <w:bCs/>
          <w:color w:val="000000"/>
          <w:sz w:val="28"/>
          <w:szCs w:val="28"/>
          <w:lang w:val="en-US"/>
        </w:rPr>
        <w:t>L</w:t>
      </w:r>
      <w:r w:rsidRPr="00BF20F4">
        <w:rPr>
          <w:rFonts w:cstheme="minorHAnsi"/>
          <w:b/>
          <w:bCs/>
          <w:color w:val="000000"/>
          <w:sz w:val="28"/>
          <w:szCs w:val="28"/>
          <w:lang w:val="en-US"/>
        </w:rPr>
        <w:t>ibrary (</w:t>
      </w:r>
      <w:proofErr w:type="spellStart"/>
      <w:r>
        <w:rPr>
          <w:rFonts w:cstheme="minorHAnsi"/>
          <w:b/>
          <w:bCs/>
          <w:color w:val="000000"/>
          <w:sz w:val="28"/>
          <w:szCs w:val="28"/>
          <w:lang w:val="en-US"/>
        </w:rPr>
        <w:t>CLib</w:t>
      </w:r>
      <w:proofErr w:type="spellEnd"/>
      <w:r w:rsidRPr="00BF20F4">
        <w:rPr>
          <w:rFonts w:cstheme="minorHAnsi"/>
          <w:b/>
          <w:bCs/>
          <w:color w:val="000000"/>
          <w:sz w:val="28"/>
          <w:szCs w:val="28"/>
          <w:lang w:val="en-US"/>
        </w:rPr>
        <w:t>)</w:t>
      </w:r>
    </w:p>
    <w:p w14:paraId="508F16C9" w14:textId="5EB27688" w:rsidR="00BF20F4" w:rsidRDefault="00EE1209" w:rsidP="00BF20F4">
      <w:pPr>
        <w:spacing w:after="100" w:afterAutospacing="1" w:line="240" w:lineRule="auto"/>
        <w:rPr>
          <w:rFonts w:cstheme="minorHAnsi"/>
          <w:b/>
          <w:bCs/>
          <w:color w:val="000000"/>
          <w:sz w:val="28"/>
          <w:szCs w:val="28"/>
          <w:lang w:val="en-US"/>
        </w:rPr>
      </w:pPr>
      <w:r w:rsidRPr="00BF20F4">
        <w:rPr>
          <w:rFonts w:cstheme="minorHAnsi"/>
          <w:b/>
          <w:bCs/>
          <w:color w:val="000000"/>
          <w:sz w:val="28"/>
          <w:szCs w:val="28"/>
          <w:lang w:val="en-US"/>
        </w:rPr>
        <w:t>Publication year</w:t>
      </w:r>
      <w:r w:rsidR="00BF20F4" w:rsidRPr="00BF20F4">
        <w:rPr>
          <w:rFonts w:cstheme="minorHAnsi"/>
          <w:b/>
          <w:bCs/>
          <w:color w:val="000000"/>
          <w:sz w:val="28"/>
          <w:szCs w:val="28"/>
          <w:lang w:val="en-US"/>
        </w:rPr>
        <w:t>: 2020</w:t>
      </w:r>
    </w:p>
    <w:p w14:paraId="769C63A1" w14:textId="1C69FDC1" w:rsidR="00BF20F4" w:rsidRPr="00BF20F4" w:rsidRDefault="00BF20F4" w:rsidP="00BF20F4">
      <w:pPr>
        <w:rPr>
          <w:rFonts w:cstheme="minorHAnsi"/>
          <w:b/>
          <w:bCs/>
          <w:color w:val="000000"/>
          <w:sz w:val="28"/>
          <w:szCs w:val="28"/>
          <w:lang w:val="en-US"/>
        </w:rPr>
      </w:pPr>
      <w:r w:rsidRPr="00BF20F4">
        <w:rPr>
          <w:rFonts w:cstheme="minorHAnsi"/>
          <w:b/>
          <w:bCs/>
          <w:color w:val="000000"/>
          <w:sz w:val="28"/>
          <w:szCs w:val="28"/>
          <w:lang w:val="en-US"/>
        </w:rPr>
        <w:t>Reviews</w:t>
      </w:r>
    </w:p>
    <w:p w14:paraId="0C6B5899" w14:textId="785F2F09" w:rsidR="00BF20F4" w:rsidRPr="00BF20F4" w:rsidRDefault="00BF20F4" w:rsidP="00BF20F4">
      <w:pPr>
        <w:rPr>
          <w:rFonts w:cstheme="minorHAnsi"/>
          <w:color w:val="000000"/>
          <w:sz w:val="28"/>
          <w:szCs w:val="28"/>
        </w:rPr>
      </w:pPr>
      <w:r w:rsidRPr="00BF20F4">
        <w:rPr>
          <w:rFonts w:cstheme="minorHAnsi"/>
          <w:color w:val="000000"/>
          <w:sz w:val="28"/>
          <w:szCs w:val="28"/>
        </w:rPr>
        <w:t>1.</w:t>
      </w:r>
      <w:r w:rsidRPr="00BF20F4">
        <w:rPr>
          <w:rFonts w:cstheme="minorHAnsi"/>
          <w:color w:val="000000"/>
          <w:sz w:val="28"/>
          <w:szCs w:val="28"/>
        </w:rPr>
        <w:tab/>
      </w:r>
      <w:proofErr w:type="spellStart"/>
      <w:r w:rsidRPr="00BF20F4">
        <w:rPr>
          <w:rFonts w:cstheme="minorHAnsi"/>
          <w:color w:val="000000"/>
          <w:sz w:val="28"/>
          <w:szCs w:val="28"/>
        </w:rPr>
        <w:t>Komolafe</w:t>
      </w:r>
      <w:proofErr w:type="spellEnd"/>
      <w:r w:rsidRPr="00BF20F4">
        <w:rPr>
          <w:rFonts w:cstheme="minorHAnsi"/>
          <w:color w:val="000000"/>
          <w:sz w:val="28"/>
          <w:szCs w:val="28"/>
        </w:rPr>
        <w:t xml:space="preserve"> O, Roberts D, Freeman SC, Wilson P, Sutton AJ, Cooper NJ, Pavlov CS, Milne EJ, Hawkins N, Cowlin M, Thorburn D, Davidson BR, Tsochatzis E, Gurusamy KS. Antibiotic prophylaxis to prevent spontaneous bacterial peritonitis in people with liver cirrhosis: a network meta‐analysis. Cochrane Database of Systematic Reviews 2020, Issue 1. Art. No.: CD013125. DOI: 10.1002/14651858.CD013125.pub2.</w:t>
      </w:r>
    </w:p>
    <w:p w14:paraId="0D329D55" w14:textId="77777777" w:rsidR="00BF20F4" w:rsidRPr="00BF20F4" w:rsidRDefault="00BF20F4" w:rsidP="00BF20F4">
      <w:pPr>
        <w:rPr>
          <w:rFonts w:cstheme="minorHAnsi"/>
          <w:color w:val="000000"/>
          <w:sz w:val="28"/>
          <w:szCs w:val="28"/>
        </w:rPr>
      </w:pPr>
      <w:r w:rsidRPr="00BF20F4">
        <w:rPr>
          <w:rFonts w:cstheme="minorHAnsi"/>
          <w:color w:val="000000"/>
          <w:sz w:val="28"/>
          <w:szCs w:val="28"/>
        </w:rPr>
        <w:t>2.</w:t>
      </w:r>
      <w:r w:rsidRPr="00BF20F4">
        <w:rPr>
          <w:rFonts w:cstheme="minorHAnsi"/>
          <w:color w:val="000000"/>
          <w:sz w:val="28"/>
          <w:szCs w:val="28"/>
        </w:rPr>
        <w:tab/>
        <w:t>Induction immunosuppression in adults undergoing liver transplantation: a network meta‐analysis. Cochrane Database of Systematic Reviews 2020, Issue 1. Art. No.: CD013203. DOI: 10.1002/14651858.CD013203.pub2.</w:t>
      </w:r>
    </w:p>
    <w:p w14:paraId="69CA7EBF" w14:textId="77777777" w:rsidR="00BF20F4" w:rsidRPr="00BF20F4" w:rsidRDefault="00BF20F4" w:rsidP="00BF20F4">
      <w:pPr>
        <w:rPr>
          <w:rFonts w:cstheme="minorHAnsi"/>
          <w:color w:val="000000"/>
          <w:sz w:val="28"/>
          <w:szCs w:val="28"/>
        </w:rPr>
      </w:pPr>
      <w:r w:rsidRPr="00BF20F4">
        <w:rPr>
          <w:rFonts w:cstheme="minorHAnsi"/>
          <w:color w:val="000000"/>
          <w:sz w:val="28"/>
          <w:szCs w:val="28"/>
        </w:rPr>
        <w:t>3.</w:t>
      </w:r>
      <w:r w:rsidRPr="00BF20F4">
        <w:rPr>
          <w:rFonts w:cstheme="minorHAnsi"/>
          <w:color w:val="000000"/>
          <w:sz w:val="28"/>
          <w:szCs w:val="28"/>
        </w:rPr>
        <w:tab/>
        <w:t>Gattini D, Cifuentes LI, Torres‐Robles R, Gana JC. Sclerotherapy versus beta‐blockers for primary prophylaxis of oesophageal variceal bleeding in children and adolescents with chronic liver disease or portal vein thrombosis. Cochrane Database of Systematic Reviews 2020, Issue 1. Art. No.: CD011659. DOI: 10.1002/14651858.CD011659.pub2.</w:t>
      </w:r>
    </w:p>
    <w:p w14:paraId="186D606C" w14:textId="77777777" w:rsidR="00BF20F4" w:rsidRPr="00BF20F4" w:rsidRDefault="00BF20F4" w:rsidP="00BF20F4">
      <w:pPr>
        <w:rPr>
          <w:rFonts w:cstheme="minorHAnsi"/>
          <w:color w:val="000000"/>
          <w:sz w:val="28"/>
          <w:szCs w:val="28"/>
        </w:rPr>
      </w:pPr>
      <w:r w:rsidRPr="00BF20F4">
        <w:rPr>
          <w:rFonts w:cstheme="minorHAnsi"/>
          <w:color w:val="000000"/>
          <w:sz w:val="28"/>
          <w:szCs w:val="28"/>
        </w:rPr>
        <w:t>4.</w:t>
      </w:r>
      <w:r w:rsidRPr="00BF20F4">
        <w:rPr>
          <w:rFonts w:cstheme="minorHAnsi"/>
          <w:color w:val="000000"/>
          <w:sz w:val="28"/>
          <w:szCs w:val="28"/>
        </w:rPr>
        <w:tab/>
        <w:t xml:space="preserve">Benmassaoud A, Freeman SC, </w:t>
      </w:r>
      <w:proofErr w:type="spellStart"/>
      <w:r w:rsidRPr="00BF20F4">
        <w:rPr>
          <w:rFonts w:cstheme="minorHAnsi"/>
          <w:color w:val="000000"/>
          <w:sz w:val="28"/>
          <w:szCs w:val="28"/>
        </w:rPr>
        <w:t>Roccarina</w:t>
      </w:r>
      <w:proofErr w:type="spellEnd"/>
      <w:r w:rsidRPr="00BF20F4">
        <w:rPr>
          <w:rFonts w:cstheme="minorHAnsi"/>
          <w:color w:val="000000"/>
          <w:sz w:val="28"/>
          <w:szCs w:val="28"/>
        </w:rPr>
        <w:t xml:space="preserve"> D, Plaz Torres MC, Sutton AJ, Cooper NJ, </w:t>
      </w:r>
      <w:proofErr w:type="spellStart"/>
      <w:r w:rsidRPr="00BF20F4">
        <w:rPr>
          <w:rFonts w:cstheme="minorHAnsi"/>
          <w:color w:val="000000"/>
          <w:sz w:val="28"/>
          <w:szCs w:val="28"/>
        </w:rPr>
        <w:t>Iogna</w:t>
      </w:r>
      <w:proofErr w:type="spellEnd"/>
      <w:r w:rsidRPr="00BF20F4">
        <w:rPr>
          <w:rFonts w:cstheme="minorHAnsi"/>
          <w:color w:val="000000"/>
          <w:sz w:val="28"/>
          <w:szCs w:val="28"/>
        </w:rPr>
        <w:t xml:space="preserve"> Prat L, Cowlin M, Milne EJ, Hawkins N, Davidson BR, Pavlov CS, Thorburn D, Tsochatzis E, Gurusamy KS. Treatment for ascites in adults with decompensated liver cirrhosis: a network meta‐analysis. Cochrane Database of Systematic Reviews 2020, Issue 1. Art. No.: CD013123. DOI: 10.1002/14651858.CD013123.pub2.</w:t>
      </w:r>
    </w:p>
    <w:p w14:paraId="3718CC74" w14:textId="77777777" w:rsidR="00BF20F4" w:rsidRPr="00BF20F4" w:rsidRDefault="00BF20F4" w:rsidP="00BF20F4">
      <w:pPr>
        <w:rPr>
          <w:rFonts w:cstheme="minorHAnsi"/>
          <w:color w:val="000000"/>
          <w:sz w:val="28"/>
          <w:szCs w:val="28"/>
        </w:rPr>
      </w:pPr>
      <w:r w:rsidRPr="00BF20F4">
        <w:rPr>
          <w:rFonts w:cstheme="minorHAnsi"/>
          <w:color w:val="000000"/>
          <w:sz w:val="28"/>
          <w:szCs w:val="28"/>
        </w:rPr>
        <w:t>5.</w:t>
      </w:r>
      <w:r w:rsidRPr="00BF20F4">
        <w:rPr>
          <w:rFonts w:cstheme="minorHAnsi"/>
          <w:color w:val="000000"/>
          <w:sz w:val="28"/>
          <w:szCs w:val="28"/>
        </w:rPr>
        <w:tab/>
        <w:t>Gattini D, Cifuentes LI, Torres‐Robles R, Gana JC. Sclerotherapy versus sham or no intervention for primary prophylaxis of oesophageal variceal bleeding in children with chronic liver disease or portal vein thrombosis. Cochrane Database of Systematic Reviews 2020, Issue 3. Art. No.: CD011573. DOI: 10.1002/14651858.CD011573.pub2.</w:t>
      </w:r>
    </w:p>
    <w:p w14:paraId="4D6840FA" w14:textId="77777777" w:rsidR="00BF20F4" w:rsidRPr="00BF20F4" w:rsidRDefault="00BF20F4" w:rsidP="00BF20F4">
      <w:pPr>
        <w:rPr>
          <w:rFonts w:cstheme="minorHAnsi"/>
          <w:color w:val="000000"/>
          <w:sz w:val="28"/>
          <w:szCs w:val="28"/>
        </w:rPr>
      </w:pPr>
      <w:r w:rsidRPr="00BF20F4">
        <w:rPr>
          <w:rFonts w:cstheme="minorHAnsi"/>
          <w:color w:val="000000"/>
          <w:sz w:val="28"/>
          <w:szCs w:val="28"/>
        </w:rPr>
        <w:t>6.</w:t>
      </w:r>
      <w:r w:rsidRPr="00BF20F4">
        <w:rPr>
          <w:rFonts w:cstheme="minorHAnsi"/>
          <w:color w:val="000000"/>
          <w:sz w:val="28"/>
          <w:szCs w:val="28"/>
        </w:rPr>
        <w:tab/>
        <w:t xml:space="preserve">Gana JC, Cifuentes LI, Gattini D, Torres-Robles R. Band ligation versus sclerotherapy for primary prophylaxis of oesophageal variceal bleeding in children with chronic liver disease or portal vein thrombosis. Cochrane </w:t>
      </w:r>
      <w:r w:rsidRPr="00BF20F4">
        <w:rPr>
          <w:rFonts w:cstheme="minorHAnsi"/>
          <w:color w:val="000000"/>
          <w:sz w:val="28"/>
          <w:szCs w:val="28"/>
        </w:rPr>
        <w:lastRenderedPageBreak/>
        <w:t>Database of Systematic Reviews 2020, Issue 11. Art. No.: CD011803. DOI: 10.1002/14651858.CD011803.pub2.</w:t>
      </w:r>
    </w:p>
    <w:p w14:paraId="3391918F" w14:textId="77777777" w:rsidR="00BF20F4" w:rsidRPr="00BF20F4" w:rsidRDefault="00BF20F4" w:rsidP="00BF20F4">
      <w:pPr>
        <w:rPr>
          <w:rFonts w:cstheme="minorHAnsi"/>
          <w:color w:val="000000"/>
          <w:sz w:val="28"/>
          <w:szCs w:val="28"/>
        </w:rPr>
      </w:pPr>
      <w:r w:rsidRPr="00BF20F4">
        <w:rPr>
          <w:rFonts w:cstheme="minorHAnsi"/>
          <w:color w:val="000000"/>
          <w:sz w:val="28"/>
          <w:szCs w:val="28"/>
        </w:rPr>
        <w:t>7.</w:t>
      </w:r>
      <w:r w:rsidRPr="00BF20F4">
        <w:rPr>
          <w:rFonts w:cstheme="minorHAnsi"/>
          <w:color w:val="000000"/>
          <w:sz w:val="28"/>
          <w:szCs w:val="28"/>
        </w:rPr>
        <w:tab/>
        <w:t>Siu JTP, Nguyen T, Turgeon RD. N‐acetylcysteine for non‐paracetamol (acetaminophen)‐related acute liver failure. Cochrane Database of Systematic Reviews 2020, Issue 12. Art. No.: CD012123. DOI: 10.1002/14651858.CD012123.pub2. Accessed 03 January 2021.</w:t>
      </w:r>
    </w:p>
    <w:p w14:paraId="7289F383" w14:textId="77777777" w:rsidR="00BF20F4" w:rsidRPr="00BF20F4" w:rsidRDefault="00BF20F4" w:rsidP="00BF20F4">
      <w:pPr>
        <w:rPr>
          <w:rFonts w:cstheme="minorHAnsi"/>
          <w:color w:val="000000"/>
          <w:sz w:val="28"/>
          <w:szCs w:val="28"/>
        </w:rPr>
      </w:pPr>
      <w:r w:rsidRPr="00BF20F4">
        <w:rPr>
          <w:rFonts w:cstheme="minorHAnsi"/>
          <w:color w:val="000000"/>
          <w:sz w:val="28"/>
          <w:szCs w:val="28"/>
        </w:rPr>
        <w:tab/>
      </w:r>
    </w:p>
    <w:p w14:paraId="314FDD41" w14:textId="79978942" w:rsidR="00BF20F4" w:rsidRPr="00BF20F4" w:rsidRDefault="00BF20F4" w:rsidP="00BF20F4">
      <w:pPr>
        <w:jc w:val="both"/>
        <w:rPr>
          <w:rFonts w:cstheme="minorHAnsi"/>
          <w:b/>
          <w:bCs/>
          <w:color w:val="000000"/>
          <w:sz w:val="28"/>
          <w:szCs w:val="28"/>
        </w:rPr>
      </w:pPr>
      <w:r w:rsidRPr="00BF20F4">
        <w:rPr>
          <w:rFonts w:cstheme="minorHAnsi"/>
          <w:b/>
          <w:bCs/>
          <w:color w:val="000000"/>
          <w:sz w:val="28"/>
          <w:szCs w:val="28"/>
        </w:rPr>
        <w:t>Updated reviews</w:t>
      </w:r>
    </w:p>
    <w:p w14:paraId="5C8C5FF8" w14:textId="4A35C085" w:rsidR="00BF20F4" w:rsidRPr="00BF20F4" w:rsidRDefault="00BF20F4" w:rsidP="00BF20F4">
      <w:pPr>
        <w:rPr>
          <w:rFonts w:cstheme="minorHAnsi"/>
          <w:color w:val="000000"/>
          <w:sz w:val="28"/>
          <w:szCs w:val="28"/>
        </w:rPr>
      </w:pPr>
      <w:r w:rsidRPr="00BF20F4">
        <w:rPr>
          <w:rFonts w:cstheme="minorHAnsi"/>
          <w:color w:val="000000"/>
          <w:sz w:val="28"/>
          <w:szCs w:val="28"/>
        </w:rPr>
        <w:t>1.</w:t>
      </w:r>
      <w:r w:rsidRPr="00BF20F4">
        <w:rPr>
          <w:rFonts w:cstheme="minorHAnsi"/>
          <w:color w:val="000000"/>
          <w:sz w:val="28"/>
          <w:szCs w:val="28"/>
        </w:rPr>
        <w:tab/>
        <w:t xml:space="preserve">Abdel-Rahman O, Elsayed Z. Yttrium‐90 microsphere </w:t>
      </w:r>
      <w:proofErr w:type="spellStart"/>
      <w:r w:rsidRPr="00BF20F4">
        <w:rPr>
          <w:rFonts w:cstheme="minorHAnsi"/>
          <w:color w:val="000000"/>
          <w:sz w:val="28"/>
          <w:szCs w:val="28"/>
        </w:rPr>
        <w:t>radioembolisation</w:t>
      </w:r>
      <w:proofErr w:type="spellEnd"/>
      <w:r w:rsidRPr="00BF20F4">
        <w:rPr>
          <w:rFonts w:cstheme="minorHAnsi"/>
          <w:color w:val="000000"/>
          <w:sz w:val="28"/>
          <w:szCs w:val="28"/>
        </w:rPr>
        <w:t xml:space="preserve"> for unresectable hepatocellular carcinoma. Cochrane Database of Systematic Reviews</w:t>
      </w:r>
      <w:r>
        <w:rPr>
          <w:rFonts w:cstheme="minorHAnsi"/>
          <w:color w:val="000000"/>
          <w:sz w:val="28"/>
          <w:szCs w:val="28"/>
          <w:lang w:val="en-US"/>
        </w:rPr>
        <w:t xml:space="preserve"> </w:t>
      </w:r>
      <w:r w:rsidRPr="00BF20F4">
        <w:rPr>
          <w:rFonts w:cstheme="minorHAnsi"/>
          <w:color w:val="000000"/>
          <w:sz w:val="28"/>
          <w:szCs w:val="28"/>
        </w:rPr>
        <w:t xml:space="preserve">2020, Issue 1. Art. No.: CD011313. DOI: 10.1002/14651858.CD011313.pub3. </w:t>
      </w:r>
    </w:p>
    <w:p w14:paraId="16A5CACF" w14:textId="77777777" w:rsidR="00BF20F4" w:rsidRPr="00BF20F4" w:rsidRDefault="00BF20F4" w:rsidP="00BF20F4">
      <w:pPr>
        <w:rPr>
          <w:rFonts w:cstheme="minorHAnsi"/>
          <w:i/>
          <w:iCs/>
          <w:color w:val="000000"/>
          <w:sz w:val="28"/>
          <w:szCs w:val="28"/>
        </w:rPr>
      </w:pPr>
      <w:r w:rsidRPr="00BF20F4">
        <w:rPr>
          <w:rFonts w:cstheme="minorHAnsi"/>
          <w:i/>
          <w:iCs/>
          <w:color w:val="000000"/>
          <w:sz w:val="28"/>
          <w:szCs w:val="28"/>
        </w:rPr>
        <w:t>(The version was later withdrawn:  2020, Issue 11. Art. No.: CD011313. DOI: 10.1002/14651858.CD011313.pub4.)</w:t>
      </w:r>
    </w:p>
    <w:p w14:paraId="5D275F30" w14:textId="77777777" w:rsidR="00BF20F4" w:rsidRPr="00BF20F4" w:rsidRDefault="00BF20F4" w:rsidP="00BF20F4">
      <w:pPr>
        <w:rPr>
          <w:rFonts w:cstheme="minorHAnsi"/>
          <w:color w:val="000000"/>
          <w:sz w:val="28"/>
          <w:szCs w:val="28"/>
        </w:rPr>
      </w:pPr>
      <w:r w:rsidRPr="00BF20F4">
        <w:rPr>
          <w:rFonts w:cstheme="minorHAnsi"/>
          <w:color w:val="000000"/>
          <w:sz w:val="28"/>
          <w:szCs w:val="28"/>
        </w:rPr>
        <w:t>2.</w:t>
      </w:r>
      <w:r w:rsidRPr="00BF20F4">
        <w:rPr>
          <w:rFonts w:cstheme="minorHAnsi"/>
          <w:color w:val="000000"/>
          <w:sz w:val="28"/>
          <w:szCs w:val="28"/>
        </w:rPr>
        <w:tab/>
        <w:t xml:space="preserve">Swierz MJ, Storman D, Riemsma RP, Wolff R, </w:t>
      </w:r>
      <w:proofErr w:type="spellStart"/>
      <w:r w:rsidRPr="00BF20F4">
        <w:rPr>
          <w:rFonts w:cstheme="minorHAnsi"/>
          <w:color w:val="000000"/>
          <w:sz w:val="28"/>
          <w:szCs w:val="28"/>
        </w:rPr>
        <w:t>Mitus</w:t>
      </w:r>
      <w:proofErr w:type="spellEnd"/>
      <w:r w:rsidRPr="00BF20F4">
        <w:rPr>
          <w:rFonts w:cstheme="minorHAnsi"/>
          <w:color w:val="000000"/>
          <w:sz w:val="28"/>
          <w:szCs w:val="28"/>
        </w:rPr>
        <w:t xml:space="preserve"> JW, </w:t>
      </w:r>
      <w:proofErr w:type="spellStart"/>
      <w:r w:rsidRPr="00BF20F4">
        <w:rPr>
          <w:rFonts w:cstheme="minorHAnsi"/>
          <w:color w:val="000000"/>
          <w:sz w:val="28"/>
          <w:szCs w:val="28"/>
        </w:rPr>
        <w:t>Pedziwiatr</w:t>
      </w:r>
      <w:proofErr w:type="spellEnd"/>
      <w:r w:rsidRPr="00BF20F4">
        <w:rPr>
          <w:rFonts w:cstheme="minorHAnsi"/>
          <w:color w:val="000000"/>
          <w:sz w:val="28"/>
          <w:szCs w:val="28"/>
        </w:rPr>
        <w:t xml:space="preserve"> M, Kleijnen J, Bala MM. Percutaneous ethanol injection for liver metastases. Cochrane Database of Systematic Reviews 2020, Issue 2. Art. No.: CD008717. DOI: 10.1002/14651858.CD008717.pub3.</w:t>
      </w:r>
    </w:p>
    <w:p w14:paraId="4A7BA50E" w14:textId="77777777" w:rsidR="00BF20F4" w:rsidRPr="00BF20F4" w:rsidRDefault="00BF20F4" w:rsidP="00BF20F4">
      <w:pPr>
        <w:rPr>
          <w:rFonts w:cstheme="minorHAnsi"/>
          <w:color w:val="000000"/>
          <w:sz w:val="28"/>
          <w:szCs w:val="28"/>
        </w:rPr>
      </w:pPr>
      <w:r w:rsidRPr="00BF20F4">
        <w:rPr>
          <w:rFonts w:cstheme="minorHAnsi"/>
          <w:color w:val="000000"/>
          <w:sz w:val="28"/>
          <w:szCs w:val="28"/>
        </w:rPr>
        <w:t>3.</w:t>
      </w:r>
      <w:r w:rsidRPr="00BF20F4">
        <w:rPr>
          <w:rFonts w:cstheme="minorHAnsi"/>
          <w:color w:val="000000"/>
          <w:sz w:val="28"/>
          <w:szCs w:val="28"/>
        </w:rPr>
        <w:tab/>
        <w:t xml:space="preserve">Swierz MJ, Storman D, Riemsma RP, Wolff R, </w:t>
      </w:r>
      <w:proofErr w:type="spellStart"/>
      <w:proofErr w:type="gramStart"/>
      <w:r w:rsidRPr="00BF20F4">
        <w:rPr>
          <w:rFonts w:cstheme="minorHAnsi"/>
          <w:color w:val="000000"/>
          <w:sz w:val="28"/>
          <w:szCs w:val="28"/>
        </w:rPr>
        <w:t>Mitus</w:t>
      </w:r>
      <w:proofErr w:type="spellEnd"/>
      <w:r w:rsidRPr="00BF20F4">
        <w:rPr>
          <w:rFonts w:cstheme="minorHAnsi"/>
          <w:color w:val="000000"/>
          <w:sz w:val="28"/>
          <w:szCs w:val="28"/>
        </w:rPr>
        <w:t xml:space="preserve">  JW</w:t>
      </w:r>
      <w:proofErr w:type="gramEnd"/>
      <w:r w:rsidRPr="00BF20F4">
        <w:rPr>
          <w:rFonts w:cstheme="minorHAnsi"/>
          <w:color w:val="000000"/>
          <w:sz w:val="28"/>
          <w:szCs w:val="28"/>
        </w:rPr>
        <w:t xml:space="preserve">, </w:t>
      </w:r>
      <w:proofErr w:type="spellStart"/>
      <w:r w:rsidRPr="00BF20F4">
        <w:rPr>
          <w:rFonts w:cstheme="minorHAnsi"/>
          <w:color w:val="000000"/>
          <w:sz w:val="28"/>
          <w:szCs w:val="28"/>
        </w:rPr>
        <w:t>Pedziwiatr</w:t>
      </w:r>
      <w:proofErr w:type="spellEnd"/>
      <w:r w:rsidRPr="00BF20F4">
        <w:rPr>
          <w:rFonts w:cstheme="minorHAnsi"/>
          <w:color w:val="000000"/>
          <w:sz w:val="28"/>
          <w:szCs w:val="28"/>
        </w:rPr>
        <w:t xml:space="preserve"> M, Kleijnen J, Bala MM. </w:t>
      </w:r>
      <w:proofErr w:type="spellStart"/>
      <w:r w:rsidRPr="00BF20F4">
        <w:rPr>
          <w:rFonts w:cstheme="minorHAnsi"/>
          <w:color w:val="000000"/>
          <w:sz w:val="28"/>
          <w:szCs w:val="28"/>
        </w:rPr>
        <w:t>Transarterial</w:t>
      </w:r>
      <w:proofErr w:type="spellEnd"/>
      <w:r w:rsidRPr="00BF20F4">
        <w:rPr>
          <w:rFonts w:cstheme="minorHAnsi"/>
          <w:color w:val="000000"/>
          <w:sz w:val="28"/>
          <w:szCs w:val="28"/>
        </w:rPr>
        <w:t xml:space="preserve"> (chemo)</w:t>
      </w:r>
      <w:proofErr w:type="spellStart"/>
      <w:r w:rsidRPr="00BF20F4">
        <w:rPr>
          <w:rFonts w:cstheme="minorHAnsi"/>
          <w:color w:val="000000"/>
          <w:sz w:val="28"/>
          <w:szCs w:val="28"/>
        </w:rPr>
        <w:t>embolisation</w:t>
      </w:r>
      <w:proofErr w:type="spellEnd"/>
      <w:r w:rsidRPr="00BF20F4">
        <w:rPr>
          <w:rFonts w:cstheme="minorHAnsi"/>
          <w:color w:val="000000"/>
          <w:sz w:val="28"/>
          <w:szCs w:val="28"/>
        </w:rPr>
        <w:t xml:space="preserve"> versus no intervention or placebo for liver metastases. Cochrane Database of Systematic Reviews 2020, Issue 3. Art. No.: CD009498. DOI: 10.1002/14651858.CD009498.pub4.</w:t>
      </w:r>
    </w:p>
    <w:p w14:paraId="0477E427" w14:textId="77777777" w:rsidR="00BF20F4" w:rsidRPr="00BF20F4" w:rsidRDefault="00BF20F4" w:rsidP="00BF20F4">
      <w:pPr>
        <w:rPr>
          <w:rFonts w:cstheme="minorHAnsi"/>
          <w:color w:val="000000"/>
          <w:sz w:val="28"/>
          <w:szCs w:val="28"/>
        </w:rPr>
      </w:pPr>
      <w:r w:rsidRPr="00BF20F4">
        <w:rPr>
          <w:rFonts w:cstheme="minorHAnsi"/>
          <w:color w:val="000000"/>
          <w:sz w:val="28"/>
          <w:szCs w:val="28"/>
        </w:rPr>
        <w:t>4.</w:t>
      </w:r>
      <w:r w:rsidRPr="00BF20F4">
        <w:rPr>
          <w:rFonts w:cstheme="minorHAnsi"/>
          <w:color w:val="000000"/>
          <w:sz w:val="28"/>
          <w:szCs w:val="28"/>
        </w:rPr>
        <w:tab/>
        <w:t xml:space="preserve">Simonetti RG, Perricone G, Robbins HL, </w:t>
      </w:r>
      <w:proofErr w:type="spellStart"/>
      <w:r w:rsidRPr="00BF20F4">
        <w:rPr>
          <w:rFonts w:cstheme="minorHAnsi"/>
          <w:color w:val="000000"/>
          <w:sz w:val="28"/>
          <w:szCs w:val="28"/>
        </w:rPr>
        <w:t>Battula</w:t>
      </w:r>
      <w:proofErr w:type="spellEnd"/>
      <w:r w:rsidRPr="00BF20F4">
        <w:rPr>
          <w:rFonts w:cstheme="minorHAnsi"/>
          <w:color w:val="000000"/>
          <w:sz w:val="28"/>
          <w:szCs w:val="28"/>
        </w:rPr>
        <w:t xml:space="preserve"> NR, Weickert MO, Sutton R, Khan S. Portosystemic shunts versus endoscopic intervention with or without medical treatment for prevention of rebleeding in people with cirrhosis. Cochrane Database of Systematic Reviews 2020, Issue 10. Art. No.: CD000553. DOI: 10.1002/14651858.CD000553.pub3.</w:t>
      </w:r>
    </w:p>
    <w:p w14:paraId="06786C63" w14:textId="77777777" w:rsidR="00BF20F4" w:rsidRPr="00BF20F4" w:rsidRDefault="00BF20F4" w:rsidP="00BF20F4">
      <w:pPr>
        <w:rPr>
          <w:rFonts w:cstheme="minorHAnsi"/>
          <w:color w:val="000000"/>
          <w:sz w:val="28"/>
          <w:szCs w:val="28"/>
        </w:rPr>
      </w:pPr>
      <w:r w:rsidRPr="00BF20F4">
        <w:rPr>
          <w:rFonts w:cstheme="minorHAnsi"/>
          <w:color w:val="000000"/>
          <w:sz w:val="28"/>
          <w:szCs w:val="28"/>
        </w:rPr>
        <w:tab/>
      </w:r>
    </w:p>
    <w:p w14:paraId="54E2B8A0" w14:textId="2D49427B" w:rsidR="00BF20F4" w:rsidRPr="00BF20F4" w:rsidRDefault="00BF20F4" w:rsidP="00BF20F4">
      <w:pPr>
        <w:rPr>
          <w:rFonts w:cstheme="minorHAnsi"/>
          <w:b/>
          <w:bCs/>
          <w:color w:val="000000"/>
          <w:sz w:val="28"/>
          <w:szCs w:val="28"/>
        </w:rPr>
      </w:pPr>
      <w:r w:rsidRPr="00BF20F4">
        <w:rPr>
          <w:rFonts w:cstheme="minorHAnsi"/>
          <w:b/>
          <w:bCs/>
          <w:color w:val="000000"/>
          <w:sz w:val="28"/>
          <w:szCs w:val="28"/>
        </w:rPr>
        <w:t>Protocols (new)</w:t>
      </w:r>
    </w:p>
    <w:p w14:paraId="18D1C7D7" w14:textId="77777777" w:rsidR="00BF20F4" w:rsidRPr="00BF20F4" w:rsidRDefault="00BF20F4" w:rsidP="00BF20F4">
      <w:pPr>
        <w:rPr>
          <w:rFonts w:cstheme="minorHAnsi"/>
          <w:color w:val="000000"/>
          <w:sz w:val="28"/>
          <w:szCs w:val="28"/>
        </w:rPr>
      </w:pPr>
      <w:r w:rsidRPr="00BF20F4">
        <w:rPr>
          <w:rFonts w:cstheme="minorHAnsi"/>
          <w:color w:val="000000"/>
          <w:sz w:val="28"/>
          <w:szCs w:val="28"/>
        </w:rPr>
        <w:t>1.</w:t>
      </w:r>
      <w:r w:rsidRPr="00BF20F4">
        <w:rPr>
          <w:rFonts w:cstheme="minorHAnsi"/>
          <w:color w:val="000000"/>
          <w:sz w:val="28"/>
          <w:szCs w:val="28"/>
        </w:rPr>
        <w:tab/>
        <w:t xml:space="preserve">Colli A, Prati D, Fraquelli M, Casazza G. Granulocyte colony‐stimulating factor with or without stem or progenitor cell infusion for people with compensated or decompensated advanced chronic liver disease. Cochrane </w:t>
      </w:r>
      <w:r w:rsidRPr="00BF20F4">
        <w:rPr>
          <w:rFonts w:cstheme="minorHAnsi"/>
          <w:color w:val="000000"/>
          <w:sz w:val="28"/>
          <w:szCs w:val="28"/>
        </w:rPr>
        <w:lastRenderedPageBreak/>
        <w:t>Database of Systematic Reviews 2020, Issue 2. Art. No.: CD013532. DOI: 10.1002/14651858.CD013532.</w:t>
      </w:r>
    </w:p>
    <w:p w14:paraId="42EC444B" w14:textId="77777777" w:rsidR="00BF20F4" w:rsidRPr="00BF20F4" w:rsidRDefault="00BF20F4" w:rsidP="00BF20F4">
      <w:pPr>
        <w:rPr>
          <w:rFonts w:cstheme="minorHAnsi"/>
          <w:color w:val="000000"/>
          <w:sz w:val="28"/>
          <w:szCs w:val="28"/>
        </w:rPr>
      </w:pPr>
      <w:r w:rsidRPr="00BF20F4">
        <w:rPr>
          <w:rFonts w:cstheme="minorHAnsi"/>
          <w:color w:val="000000"/>
          <w:sz w:val="28"/>
          <w:szCs w:val="28"/>
        </w:rPr>
        <w:t>2.</w:t>
      </w:r>
      <w:r w:rsidRPr="00BF20F4">
        <w:rPr>
          <w:rFonts w:cstheme="minorHAnsi"/>
          <w:color w:val="000000"/>
          <w:sz w:val="28"/>
          <w:szCs w:val="28"/>
        </w:rPr>
        <w:tab/>
        <w:t xml:space="preserve">Markotic F, </w:t>
      </w:r>
      <w:proofErr w:type="spellStart"/>
      <w:r w:rsidRPr="00BF20F4">
        <w:rPr>
          <w:rFonts w:cstheme="minorHAnsi"/>
          <w:color w:val="000000"/>
          <w:sz w:val="28"/>
          <w:szCs w:val="28"/>
        </w:rPr>
        <w:t>Grgic</w:t>
      </w:r>
      <w:proofErr w:type="spellEnd"/>
      <w:r w:rsidRPr="00BF20F4">
        <w:rPr>
          <w:rFonts w:cstheme="minorHAnsi"/>
          <w:color w:val="000000"/>
          <w:sz w:val="28"/>
          <w:szCs w:val="28"/>
        </w:rPr>
        <w:t xml:space="preserve"> S, Poropat G, Fox A, Nikolova D, </w:t>
      </w:r>
      <w:proofErr w:type="spellStart"/>
      <w:r w:rsidRPr="00BF20F4">
        <w:rPr>
          <w:rFonts w:cstheme="minorHAnsi"/>
          <w:color w:val="000000"/>
          <w:sz w:val="28"/>
          <w:szCs w:val="28"/>
        </w:rPr>
        <w:t>Vukojevic</w:t>
      </w:r>
      <w:proofErr w:type="spellEnd"/>
      <w:r w:rsidRPr="00BF20F4">
        <w:rPr>
          <w:rFonts w:cstheme="minorHAnsi"/>
          <w:color w:val="000000"/>
          <w:sz w:val="28"/>
          <w:szCs w:val="28"/>
        </w:rPr>
        <w:t xml:space="preserve"> K, Jakobsen JC, Gluud C. Antibiotics for adults with acute cholecystitis or acute cholangitis or both. Cochrane Database of Systematic Reviews 2020, Issue 6. Art. No.: CD013646. DOI: 10.1002/14651858.CD013646.</w:t>
      </w:r>
    </w:p>
    <w:p w14:paraId="7D04CC21" w14:textId="77777777" w:rsidR="00BF20F4" w:rsidRPr="00BF20F4" w:rsidRDefault="00BF20F4" w:rsidP="00BF20F4">
      <w:pPr>
        <w:rPr>
          <w:rFonts w:cstheme="minorHAnsi"/>
          <w:color w:val="000000"/>
          <w:sz w:val="28"/>
          <w:szCs w:val="28"/>
        </w:rPr>
      </w:pPr>
      <w:r w:rsidRPr="00BF20F4">
        <w:rPr>
          <w:rFonts w:cstheme="minorHAnsi"/>
          <w:color w:val="000000"/>
          <w:sz w:val="28"/>
          <w:szCs w:val="28"/>
        </w:rPr>
        <w:t xml:space="preserve">3. </w:t>
      </w:r>
      <w:r w:rsidRPr="00BF20F4">
        <w:rPr>
          <w:rFonts w:cstheme="minorHAnsi"/>
          <w:color w:val="000000"/>
          <w:sz w:val="28"/>
          <w:szCs w:val="28"/>
        </w:rPr>
        <w:tab/>
        <w:t>Ugwu EO, Eleje GU, Ugwu AO, Nwagha UI, Ikechebelu JI, Umeh UA, Okafor HU. Antivirals for prevention of hepatitis B virus mother‐to‐child transmission in human immunodeficiency virus positive pregnant women co‐infected with hepatitis B virus. Cochrane Database of Systematic Reviews 2020, Issue 6. Art. No.: CD013653. DOI: 10.1002/14651858.CD013653.</w:t>
      </w:r>
    </w:p>
    <w:p w14:paraId="3C181ADB" w14:textId="77777777" w:rsidR="00BF20F4" w:rsidRPr="00BF20F4" w:rsidRDefault="00BF20F4" w:rsidP="00BF20F4">
      <w:pPr>
        <w:rPr>
          <w:rFonts w:cstheme="minorHAnsi"/>
          <w:color w:val="000000"/>
          <w:sz w:val="28"/>
          <w:szCs w:val="28"/>
        </w:rPr>
      </w:pPr>
      <w:r w:rsidRPr="00BF20F4">
        <w:rPr>
          <w:rFonts w:cstheme="minorHAnsi"/>
          <w:color w:val="000000"/>
          <w:sz w:val="28"/>
          <w:szCs w:val="28"/>
        </w:rPr>
        <w:t>4.</w:t>
      </w:r>
      <w:r w:rsidRPr="00BF20F4">
        <w:rPr>
          <w:rFonts w:cstheme="minorHAnsi"/>
          <w:color w:val="000000"/>
          <w:sz w:val="28"/>
          <w:szCs w:val="28"/>
        </w:rPr>
        <w:tab/>
        <w:t xml:space="preserve">Turankova T, Blyuss O, </w:t>
      </w:r>
      <w:proofErr w:type="spellStart"/>
      <w:r w:rsidRPr="00BF20F4">
        <w:rPr>
          <w:rFonts w:cstheme="minorHAnsi"/>
          <w:color w:val="000000"/>
          <w:sz w:val="28"/>
          <w:szCs w:val="28"/>
        </w:rPr>
        <w:t>Brazhnikov</w:t>
      </w:r>
      <w:proofErr w:type="spellEnd"/>
      <w:r w:rsidRPr="00BF20F4">
        <w:rPr>
          <w:rFonts w:cstheme="minorHAnsi"/>
          <w:color w:val="000000"/>
          <w:sz w:val="28"/>
          <w:szCs w:val="28"/>
        </w:rPr>
        <w:t xml:space="preserve"> A, </w:t>
      </w:r>
      <w:proofErr w:type="spellStart"/>
      <w:r w:rsidRPr="00BF20F4">
        <w:rPr>
          <w:rFonts w:cstheme="minorHAnsi"/>
          <w:color w:val="000000"/>
          <w:sz w:val="28"/>
          <w:szCs w:val="28"/>
        </w:rPr>
        <w:t>Svistunov</w:t>
      </w:r>
      <w:proofErr w:type="spellEnd"/>
      <w:r w:rsidRPr="00BF20F4">
        <w:rPr>
          <w:rFonts w:cstheme="minorHAnsi"/>
          <w:color w:val="000000"/>
          <w:sz w:val="28"/>
          <w:szCs w:val="28"/>
        </w:rPr>
        <w:t xml:space="preserve"> A, Gurusamy KS, Pavlov CS. Transient elastography with controlled attenuation parameter (CAP) for diagnosis of moderate or severe steatosis in people with suspected non‐alcoholic fatty liver disease. Cochrane Database of Systematic Reviews 2020, Issue 7. Art. No.: CD013670. DOI: 10.1002/14651858.CD013670.</w:t>
      </w:r>
    </w:p>
    <w:p w14:paraId="03CB099F" w14:textId="77777777" w:rsidR="00BF20F4" w:rsidRPr="00BF20F4" w:rsidRDefault="00BF20F4" w:rsidP="00BF20F4">
      <w:pPr>
        <w:rPr>
          <w:rFonts w:cstheme="minorHAnsi"/>
          <w:color w:val="000000"/>
          <w:sz w:val="28"/>
          <w:szCs w:val="28"/>
        </w:rPr>
      </w:pPr>
      <w:r w:rsidRPr="00BF20F4">
        <w:rPr>
          <w:rFonts w:cstheme="minorHAnsi"/>
          <w:color w:val="000000"/>
          <w:sz w:val="28"/>
          <w:szCs w:val="28"/>
        </w:rPr>
        <w:t>5.</w:t>
      </w:r>
      <w:r w:rsidRPr="00BF20F4">
        <w:rPr>
          <w:rFonts w:cstheme="minorHAnsi"/>
          <w:color w:val="000000"/>
          <w:sz w:val="28"/>
          <w:szCs w:val="28"/>
        </w:rPr>
        <w:tab/>
        <w:t>Naing C, Leong C-O, Aung HH, Mai C-W, Chan EW, Kew ST. Gene therapy for people with hepatocellular carcinoma. Cochrane Database of Systematic Reviews 2020, Issue 9. Art. No.: CD013731. DOI: 10.1002/14651858.CD013731.</w:t>
      </w:r>
    </w:p>
    <w:p w14:paraId="1F3CC5DF" w14:textId="77777777" w:rsidR="00BF20F4" w:rsidRPr="00BF20F4" w:rsidRDefault="00BF20F4" w:rsidP="00BF20F4">
      <w:pPr>
        <w:rPr>
          <w:rFonts w:cstheme="minorHAnsi"/>
          <w:color w:val="000000"/>
          <w:sz w:val="28"/>
          <w:szCs w:val="28"/>
        </w:rPr>
      </w:pPr>
      <w:r w:rsidRPr="00BF20F4">
        <w:rPr>
          <w:rFonts w:cstheme="minorHAnsi"/>
          <w:color w:val="000000"/>
          <w:sz w:val="28"/>
          <w:szCs w:val="28"/>
        </w:rPr>
        <w:tab/>
      </w:r>
    </w:p>
    <w:p w14:paraId="797FBCD2" w14:textId="6E882779" w:rsidR="00BF20F4" w:rsidRPr="00BF20F4" w:rsidRDefault="00BF20F4" w:rsidP="00BF20F4">
      <w:pPr>
        <w:rPr>
          <w:rFonts w:cstheme="minorHAnsi"/>
          <w:b/>
          <w:bCs/>
          <w:color w:val="000000"/>
          <w:sz w:val="28"/>
          <w:szCs w:val="28"/>
        </w:rPr>
      </w:pPr>
      <w:r w:rsidRPr="00BF20F4">
        <w:rPr>
          <w:rFonts w:cstheme="minorHAnsi"/>
          <w:b/>
          <w:bCs/>
          <w:color w:val="000000"/>
          <w:sz w:val="28"/>
          <w:szCs w:val="28"/>
        </w:rPr>
        <w:t>Major change protocols (updates)</w:t>
      </w:r>
    </w:p>
    <w:p w14:paraId="347BC910" w14:textId="77777777" w:rsidR="00BF20F4" w:rsidRPr="00BF20F4" w:rsidRDefault="00BF20F4" w:rsidP="00BF20F4">
      <w:pPr>
        <w:rPr>
          <w:rFonts w:cstheme="minorHAnsi"/>
          <w:color w:val="000000"/>
          <w:sz w:val="28"/>
          <w:szCs w:val="28"/>
        </w:rPr>
      </w:pPr>
      <w:r w:rsidRPr="00BF20F4">
        <w:rPr>
          <w:rFonts w:cstheme="minorHAnsi"/>
          <w:color w:val="000000"/>
          <w:sz w:val="28"/>
          <w:szCs w:val="28"/>
        </w:rPr>
        <w:t>1.</w:t>
      </w:r>
      <w:r w:rsidRPr="00BF20F4">
        <w:rPr>
          <w:rFonts w:cstheme="minorHAnsi"/>
          <w:color w:val="000000"/>
          <w:sz w:val="28"/>
          <w:szCs w:val="28"/>
        </w:rPr>
        <w:tab/>
        <w:t xml:space="preserve">Lund M, Nadarevic T, Bjerre TA, </w:t>
      </w:r>
      <w:proofErr w:type="spellStart"/>
      <w:r w:rsidRPr="00BF20F4">
        <w:rPr>
          <w:rFonts w:cstheme="minorHAnsi"/>
          <w:color w:val="000000"/>
          <w:sz w:val="28"/>
          <w:szCs w:val="28"/>
        </w:rPr>
        <w:t>Grønbæk</w:t>
      </w:r>
      <w:proofErr w:type="spellEnd"/>
      <w:r w:rsidRPr="00BF20F4">
        <w:rPr>
          <w:rFonts w:cstheme="minorHAnsi"/>
          <w:color w:val="000000"/>
          <w:sz w:val="28"/>
          <w:szCs w:val="28"/>
        </w:rPr>
        <w:t xml:space="preserve"> H, Mortensen F, </w:t>
      </w:r>
      <w:proofErr w:type="spellStart"/>
      <w:r w:rsidRPr="00BF20F4">
        <w:rPr>
          <w:rFonts w:cstheme="minorHAnsi"/>
          <w:color w:val="000000"/>
          <w:sz w:val="28"/>
          <w:szCs w:val="28"/>
        </w:rPr>
        <w:t>Kragh</w:t>
      </w:r>
      <w:proofErr w:type="spellEnd"/>
      <w:r w:rsidRPr="00BF20F4">
        <w:rPr>
          <w:rFonts w:cstheme="minorHAnsi"/>
          <w:color w:val="000000"/>
          <w:sz w:val="28"/>
          <w:szCs w:val="28"/>
        </w:rPr>
        <w:t xml:space="preserve"> Andersen P. Contrast‐enhanced ultrasound compared with computed tomography, magnetic resonance imaging, and positron emission tomography‐computed tomography for diagnosing liver metastases in people with newly diagnosed colorectal cancer. Cochrane Database of Systematic Reviews 2020, Issue 5. Art. No.: CD012388. DOI: 10.1002/14651858.CD012388.pub2.</w:t>
      </w:r>
    </w:p>
    <w:p w14:paraId="421C8C49" w14:textId="5AAF26AB" w:rsidR="00766B06" w:rsidRPr="00BF20F4" w:rsidRDefault="00766B06" w:rsidP="00BF20F4"/>
    <w:sectPr w:rsidR="00766B06" w:rsidRPr="00BF2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F4"/>
    <w:rsid w:val="00426580"/>
    <w:rsid w:val="00766B06"/>
    <w:rsid w:val="00BF20F4"/>
    <w:rsid w:val="00EE1209"/>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3D02"/>
  <w15:chartTrackingRefBased/>
  <w15:docId w15:val="{4CD7BA1F-52A3-4315-B350-0B182DE8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Nikolova</dc:creator>
  <cp:keywords/>
  <dc:description/>
  <cp:lastModifiedBy>Dimitrinka Nikolova</cp:lastModifiedBy>
  <cp:revision>2</cp:revision>
  <dcterms:created xsi:type="dcterms:W3CDTF">2021-01-04T11:21:00Z</dcterms:created>
  <dcterms:modified xsi:type="dcterms:W3CDTF">2021-01-04T11:21:00Z</dcterms:modified>
</cp:coreProperties>
</file>