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4A47A" w14:textId="52B44670" w:rsidR="00F26ED8" w:rsidRPr="00E272D2" w:rsidRDefault="00F26ED8" w:rsidP="00F26ED8">
      <w:pPr>
        <w:pStyle w:val="NormalWeb"/>
        <w:rPr>
          <w:rFonts w:ascii="Arial" w:hAnsi="Arial" w:cs="Arial"/>
          <w:b/>
          <w:bCs/>
          <w:color w:val="000000"/>
        </w:rPr>
      </w:pPr>
      <w:r w:rsidRPr="00E272D2">
        <w:rPr>
          <w:rFonts w:ascii="Arial" w:hAnsi="Arial" w:cs="Arial"/>
          <w:b/>
          <w:bCs/>
          <w:color w:val="000000"/>
        </w:rPr>
        <w:t>Publication year: 202</w:t>
      </w:r>
      <w:r w:rsidR="004B4BA7" w:rsidRPr="00E272D2">
        <w:rPr>
          <w:rFonts w:ascii="Arial" w:hAnsi="Arial" w:cs="Arial"/>
          <w:b/>
          <w:bCs/>
          <w:color w:val="000000"/>
        </w:rPr>
        <w:t>4</w:t>
      </w:r>
    </w:p>
    <w:p w14:paraId="72B6C3A5" w14:textId="77777777" w:rsidR="00F26ED8" w:rsidRPr="00E272D2" w:rsidRDefault="00F26ED8" w:rsidP="00F26ED8">
      <w:pPr>
        <w:pStyle w:val="NormalWeb"/>
        <w:rPr>
          <w:rFonts w:ascii="Arial" w:hAnsi="Arial" w:cs="Arial"/>
          <w:b/>
          <w:bCs/>
          <w:color w:val="000000"/>
        </w:rPr>
      </w:pPr>
      <w:r w:rsidRPr="00E272D2">
        <w:rPr>
          <w:rFonts w:ascii="Arial" w:hAnsi="Arial" w:cs="Arial"/>
          <w:b/>
          <w:bCs/>
          <w:color w:val="000000"/>
        </w:rPr>
        <w:t>Cochrane Hepato-Biliary Group (CHBG)</w:t>
      </w:r>
    </w:p>
    <w:p w14:paraId="687C7D49" w14:textId="2275F8BF" w:rsidR="00F26ED8" w:rsidRPr="00E272D2" w:rsidRDefault="00F26ED8" w:rsidP="00F26ED8">
      <w:pPr>
        <w:pStyle w:val="NormalWeb"/>
        <w:rPr>
          <w:rFonts w:ascii="Arial" w:hAnsi="Arial" w:cs="Arial"/>
          <w:b/>
          <w:bCs/>
          <w:color w:val="000000"/>
        </w:rPr>
      </w:pPr>
      <w:r w:rsidRPr="00E272D2">
        <w:rPr>
          <w:rFonts w:ascii="Arial" w:hAnsi="Arial" w:cs="Arial"/>
          <w:b/>
          <w:bCs/>
          <w:color w:val="000000"/>
        </w:rPr>
        <w:t>I. Publications on the Cochrane Database of Systematic Reviews (CDSR) in the Cochrane Library (CLib), including contributors.</w:t>
      </w:r>
    </w:p>
    <w:p w14:paraId="4C1CBA8C" w14:textId="334FEAD2" w:rsidR="00F26ED8" w:rsidRPr="00E272D2" w:rsidRDefault="00F26ED8" w:rsidP="00F26ED8">
      <w:pPr>
        <w:pStyle w:val="NormalWeb"/>
        <w:rPr>
          <w:rFonts w:ascii="Arial" w:hAnsi="Arial" w:cs="Arial"/>
          <w:b/>
          <w:bCs/>
          <w:color w:val="000000"/>
        </w:rPr>
      </w:pPr>
      <w:r w:rsidRPr="00E272D2">
        <w:rPr>
          <w:rFonts w:ascii="Arial" w:hAnsi="Arial" w:cs="Arial"/>
          <w:b/>
          <w:bCs/>
          <w:color w:val="000000"/>
        </w:rPr>
        <w:t>Reviews</w:t>
      </w:r>
    </w:p>
    <w:tbl>
      <w:tblPr>
        <w:tblStyle w:val="TableGrid"/>
        <w:tblW w:w="9114" w:type="dxa"/>
        <w:tblInd w:w="-289" w:type="dxa"/>
        <w:tblLook w:val="04A0" w:firstRow="1" w:lastRow="0" w:firstColumn="1" w:lastColumn="0" w:noHBand="0" w:noVBand="1"/>
      </w:tblPr>
      <w:tblGrid>
        <w:gridCol w:w="835"/>
        <w:gridCol w:w="4100"/>
        <w:gridCol w:w="4179"/>
      </w:tblGrid>
      <w:tr w:rsidR="00F26ED8" w:rsidRPr="00A46F4F" w14:paraId="18792D3B" w14:textId="77777777" w:rsidTr="004915C4">
        <w:tc>
          <w:tcPr>
            <w:tcW w:w="835" w:type="dxa"/>
            <w:tcBorders>
              <w:bottom w:val="single" w:sz="4" w:space="0" w:color="auto"/>
            </w:tcBorders>
          </w:tcPr>
          <w:p w14:paraId="6C7D201D" w14:textId="7CCDE1E3"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No</w:t>
            </w:r>
          </w:p>
        </w:tc>
        <w:tc>
          <w:tcPr>
            <w:tcW w:w="4100" w:type="dxa"/>
            <w:tcBorders>
              <w:bottom w:val="single" w:sz="4" w:space="0" w:color="auto"/>
            </w:tcBorders>
          </w:tcPr>
          <w:p w14:paraId="1745EE66" w14:textId="37AC3AFA"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Reference</w:t>
            </w:r>
          </w:p>
        </w:tc>
        <w:tc>
          <w:tcPr>
            <w:tcW w:w="4179" w:type="dxa"/>
            <w:tcBorders>
              <w:bottom w:val="single" w:sz="4" w:space="0" w:color="auto"/>
            </w:tcBorders>
          </w:tcPr>
          <w:p w14:paraId="70D78E40" w14:textId="6F284EA7"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Contributors</w:t>
            </w:r>
          </w:p>
        </w:tc>
      </w:tr>
      <w:tr w:rsidR="00F26ED8" w:rsidRPr="00471A9B" w14:paraId="112F500A" w14:textId="77777777" w:rsidTr="004915C4">
        <w:tc>
          <w:tcPr>
            <w:tcW w:w="835" w:type="dxa"/>
            <w:tcBorders>
              <w:top w:val="single" w:sz="4" w:space="0" w:color="auto"/>
              <w:bottom w:val="single" w:sz="4" w:space="0" w:color="auto"/>
            </w:tcBorders>
          </w:tcPr>
          <w:p w14:paraId="7BC8ED32" w14:textId="62E00F55" w:rsidR="00F26ED8" w:rsidRPr="00471A9B" w:rsidRDefault="00F26ED8" w:rsidP="00F26ED8">
            <w:pPr>
              <w:pStyle w:val="NormalWeb"/>
              <w:rPr>
                <w:rFonts w:ascii="Arial" w:hAnsi="Arial" w:cs="Arial"/>
                <w:color w:val="000000"/>
              </w:rPr>
            </w:pPr>
            <w:r w:rsidRPr="00471A9B">
              <w:rPr>
                <w:rFonts w:ascii="Arial" w:hAnsi="Arial" w:cs="Arial"/>
                <w:color w:val="000000"/>
              </w:rPr>
              <w:t>1.</w:t>
            </w:r>
          </w:p>
        </w:tc>
        <w:tc>
          <w:tcPr>
            <w:tcW w:w="4100" w:type="dxa"/>
            <w:tcBorders>
              <w:top w:val="single" w:sz="4" w:space="0" w:color="auto"/>
              <w:bottom w:val="single" w:sz="4" w:space="0" w:color="auto"/>
            </w:tcBorders>
          </w:tcPr>
          <w:p w14:paraId="6640A347" w14:textId="2C3245EA" w:rsidR="00F26ED8" w:rsidRPr="00471A9B" w:rsidRDefault="00F26ED8" w:rsidP="00F26ED8">
            <w:pPr>
              <w:pStyle w:val="NormalWeb"/>
              <w:rPr>
                <w:rFonts w:ascii="Arial" w:hAnsi="Arial" w:cs="Arial"/>
                <w:color w:val="000000"/>
              </w:rPr>
            </w:pPr>
            <w:r w:rsidRPr="00471A9B">
              <w:rPr>
                <w:rFonts w:ascii="Arial" w:hAnsi="Arial" w:cs="Arial"/>
                <w:color w:val="000000"/>
              </w:rPr>
              <w:t>Gonzalez-Garay AG, Serralde-Zúñiga AE, Velasco Hidalgo L, Flores García NC, Aguirre-Salgado MI. Transjugular intrahepatic portosystemic shunts for adults with hepatorenal syndrome. Cochrane Database of Systematic Reviews 2024, Issue 1. Art. No.: CD011039. DOI: 10.1002/14651858.CD011039.pub2.</w:t>
            </w:r>
          </w:p>
        </w:tc>
        <w:tc>
          <w:tcPr>
            <w:tcW w:w="4179" w:type="dxa"/>
            <w:tcBorders>
              <w:top w:val="single" w:sz="4" w:space="0" w:color="auto"/>
              <w:bottom w:val="single" w:sz="4" w:space="0" w:color="auto"/>
            </w:tcBorders>
          </w:tcPr>
          <w:p w14:paraId="7B1F31E1" w14:textId="77777777"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76C98AB5" w14:textId="77777777"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2CDB3944"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ordinating Editor CHBG, Denmark</w:t>
            </w:r>
          </w:p>
          <w:p w14:paraId="7130B4C0"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Contact Editor (provided editorial decision): Christian Gluud, Denmark</w:t>
            </w:r>
          </w:p>
          <w:p w14:paraId="74931BCA"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Statistical Editor: Giovanni Casazza, Italy</w:t>
            </w:r>
          </w:p>
          <w:p w14:paraId="4A9DFFE8"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Managing Editor (selected peer reviewers, provided editorial guidance to authors, edited the article): Dimitrinka Nikolova, Denmark</w:t>
            </w:r>
          </w:p>
          <w:p w14:paraId="2A6F33EF"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Information Specialist (database searches): Sarah Louise Klingenberg, Denmark</w:t>
            </w:r>
          </w:p>
          <w:p w14:paraId="07282AB3" w14:textId="0199263B"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reviewers (provided clinical and content review comments): Tong Li, China; Abdullah Malik, UK</w:t>
            </w:r>
            <w:r w:rsidR="00C10A26" w:rsidRPr="00471A9B">
              <w:rPr>
                <w:rFonts w:ascii="Arial" w:hAnsi="Arial" w:cs="Arial"/>
                <w:color w:val="000000"/>
              </w:rPr>
              <w:t>;</w:t>
            </w:r>
            <w:r w:rsidRPr="00471A9B">
              <w:rPr>
                <w:rFonts w:ascii="Arial" w:hAnsi="Arial" w:cs="Arial"/>
                <w:color w:val="000000"/>
              </w:rPr>
              <w:t xml:space="preserve"> (provided comments on Trial Sequential Analyses text and figures): Mark Aninakwah Asante, Denmark</w:t>
            </w:r>
            <w:r w:rsidR="00EE5DFD" w:rsidRPr="00471A9B">
              <w:rPr>
                <w:rFonts w:ascii="Arial" w:hAnsi="Arial" w:cs="Arial"/>
                <w:color w:val="000000"/>
              </w:rPr>
              <w:t>;</w:t>
            </w:r>
            <w:r w:rsidRPr="00471A9B">
              <w:rPr>
                <w:rFonts w:ascii="Arial" w:hAnsi="Arial" w:cs="Arial"/>
                <w:color w:val="000000"/>
              </w:rPr>
              <w:t xml:space="preserve"> (consumer peer review): Paola Andrenacci, Argentina</w:t>
            </w:r>
          </w:p>
          <w:p w14:paraId="58C4CE68" w14:textId="00BA605F" w:rsidR="00F26ED8" w:rsidRPr="00471A9B" w:rsidRDefault="000C483D" w:rsidP="007C4926">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lastRenderedPageBreak/>
              <w:t>Copy Editor (copy editing and production): Anne Lawson, Cochrane Central Production Service.</w:t>
            </w:r>
          </w:p>
        </w:tc>
      </w:tr>
      <w:tr w:rsidR="00F26ED8" w:rsidRPr="00471A9B" w14:paraId="31A40ECC" w14:textId="77777777" w:rsidTr="004915C4">
        <w:trPr>
          <w:trHeight w:val="1124"/>
        </w:trPr>
        <w:tc>
          <w:tcPr>
            <w:tcW w:w="835" w:type="dxa"/>
            <w:tcBorders>
              <w:top w:val="single" w:sz="4" w:space="0" w:color="auto"/>
              <w:bottom w:val="single" w:sz="4" w:space="0" w:color="auto"/>
            </w:tcBorders>
          </w:tcPr>
          <w:p w14:paraId="5F1E4475" w14:textId="6E3BC5F0" w:rsidR="00F26ED8" w:rsidRPr="00471A9B" w:rsidRDefault="005951D5" w:rsidP="00F26ED8">
            <w:pPr>
              <w:pStyle w:val="NormalWeb"/>
              <w:rPr>
                <w:rFonts w:ascii="Arial" w:hAnsi="Arial" w:cs="Arial"/>
                <w:color w:val="000000"/>
              </w:rPr>
            </w:pPr>
            <w:r w:rsidRPr="00471A9B">
              <w:rPr>
                <w:rFonts w:ascii="Arial" w:hAnsi="Arial" w:cs="Arial"/>
                <w:color w:val="000000"/>
              </w:rPr>
              <w:lastRenderedPageBreak/>
              <w:t>2.</w:t>
            </w:r>
          </w:p>
        </w:tc>
        <w:tc>
          <w:tcPr>
            <w:tcW w:w="4100" w:type="dxa"/>
            <w:tcBorders>
              <w:top w:val="single" w:sz="4" w:space="0" w:color="auto"/>
              <w:bottom w:val="single" w:sz="4" w:space="0" w:color="auto"/>
            </w:tcBorders>
          </w:tcPr>
          <w:p w14:paraId="27351885" w14:textId="18D44AC1" w:rsidR="00F26ED8" w:rsidRPr="00471A9B" w:rsidRDefault="005951D5" w:rsidP="00F26ED8">
            <w:pPr>
              <w:pStyle w:val="NormalWeb"/>
              <w:rPr>
                <w:rFonts w:ascii="Arial" w:hAnsi="Arial" w:cs="Arial"/>
                <w:color w:val="000000"/>
              </w:rPr>
            </w:pPr>
            <w:r w:rsidRPr="00471A9B">
              <w:rPr>
                <w:rFonts w:ascii="Arial" w:hAnsi="Arial" w:cs="Arial"/>
                <w:color w:val="000000"/>
              </w:rPr>
              <w:t>Bijkerk V, Jacobs LMC, Albers KI, Gurusamy KS, van Laarhoven CJHM, Keijzer C, Warlé MC. Deep neuromuscular blockade in adults undergoing an abdominal laparoscopic procedure. Cochrane Database of Systematic Reviews 2024, Issue 1. Art. No.: CD013197. DOI: 10.1002/14651858.CD013197.pub2. Accessed 30 January 2024.</w:t>
            </w:r>
          </w:p>
        </w:tc>
        <w:tc>
          <w:tcPr>
            <w:tcW w:w="4179" w:type="dxa"/>
            <w:tcBorders>
              <w:top w:val="single" w:sz="4" w:space="0" w:color="auto"/>
              <w:bottom w:val="single" w:sz="4" w:space="0" w:color="auto"/>
            </w:tcBorders>
          </w:tcPr>
          <w:p w14:paraId="3EC7F7A9" w14:textId="77777777"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1874ED42" w14:textId="77777777"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50199F1C" w14:textId="67EB62E9"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ordinating Editor, Denmark</w:t>
            </w:r>
          </w:p>
          <w:p w14:paraId="01F9E44B" w14:textId="77777777"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Contact Editor (provided editorial decision): Goran Poropat, Croatia</w:t>
            </w:r>
          </w:p>
          <w:p w14:paraId="6AB7D308" w14:textId="4C3E7184"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Managing Editor (selected peer reviewers, provided editorial guidance to authors, edited the protocol): Dimitrinka Nikolova, Denmark</w:t>
            </w:r>
          </w:p>
          <w:p w14:paraId="2927C62F" w14:textId="77777777"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Information Specialist (database searches): Sarah Louise Klingenberg, Denmark</w:t>
            </w:r>
          </w:p>
          <w:p w14:paraId="75EAAF3F" w14:textId="6B5C5589"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reviewers (provided clinical and content review comments): Richard Watts, Australia; Goran Poropat, Croatia; (provided comments on Trial Sequential Analyses text and figures): Mark Aninakwah Asante, Denmark; (consumer peer review): Paola Andrenacci, Argentina</w:t>
            </w:r>
          </w:p>
          <w:p w14:paraId="488677E5" w14:textId="77777777" w:rsidR="00471A9B" w:rsidRDefault="00EF730B" w:rsidP="00471A9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3AFA5BE4" w14:textId="21F17E49" w:rsidR="00F26ED8" w:rsidRPr="00471A9B" w:rsidRDefault="00EF730B" w:rsidP="00471A9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Copy Editor (copy editing and production): Anne Lawson, Cochrane Central Production Service.</w:t>
            </w:r>
          </w:p>
        </w:tc>
      </w:tr>
      <w:tr w:rsidR="00F26ED8" w:rsidRPr="00471A9B" w14:paraId="4F3B7B65" w14:textId="77777777" w:rsidTr="004915C4">
        <w:tc>
          <w:tcPr>
            <w:tcW w:w="835" w:type="dxa"/>
            <w:tcBorders>
              <w:bottom w:val="nil"/>
            </w:tcBorders>
          </w:tcPr>
          <w:p w14:paraId="7DD88132" w14:textId="6F953DED" w:rsidR="00F26ED8" w:rsidRPr="00471A9B" w:rsidRDefault="00A46F4F" w:rsidP="00F26ED8">
            <w:pPr>
              <w:pStyle w:val="NormalWeb"/>
              <w:rPr>
                <w:rFonts w:ascii="Arial" w:hAnsi="Arial" w:cs="Arial"/>
                <w:color w:val="000000"/>
              </w:rPr>
            </w:pPr>
            <w:r w:rsidRPr="00471A9B">
              <w:rPr>
                <w:rFonts w:ascii="Arial" w:hAnsi="Arial" w:cs="Arial"/>
                <w:color w:val="000000"/>
              </w:rPr>
              <w:t>3.</w:t>
            </w:r>
          </w:p>
        </w:tc>
        <w:tc>
          <w:tcPr>
            <w:tcW w:w="4100" w:type="dxa"/>
            <w:tcBorders>
              <w:bottom w:val="nil"/>
            </w:tcBorders>
          </w:tcPr>
          <w:p w14:paraId="75E15A3D" w14:textId="1FE161E7" w:rsidR="00F26ED8" w:rsidRPr="00471A9B" w:rsidRDefault="00A46F4F" w:rsidP="00F26ED8">
            <w:pPr>
              <w:pStyle w:val="NormalWeb"/>
              <w:rPr>
                <w:rFonts w:ascii="Arial" w:hAnsi="Arial" w:cs="Arial"/>
                <w:color w:val="000000"/>
              </w:rPr>
            </w:pPr>
            <w:r w:rsidRPr="00471A9B">
              <w:rPr>
                <w:rFonts w:ascii="Arial" w:hAnsi="Arial" w:cs="Arial"/>
                <w:color w:val="000000"/>
              </w:rPr>
              <w:t xml:space="preserve">Madden AM, Smeeton NC, Culkin A, Trivedi D. Modified dietary fat intake for treatment of gallstone disease in people of any age. Cochrane Database of Systematic </w:t>
            </w:r>
            <w:r w:rsidRPr="00471A9B">
              <w:rPr>
                <w:rFonts w:ascii="Arial" w:hAnsi="Arial" w:cs="Arial"/>
                <w:color w:val="000000"/>
              </w:rPr>
              <w:lastRenderedPageBreak/>
              <w:t>Reviews 2024, Issue 2. Art. No.: CD012608. DOI: 10.1002/14651858.CD012608.pub3</w:t>
            </w:r>
          </w:p>
        </w:tc>
        <w:tc>
          <w:tcPr>
            <w:tcW w:w="4179" w:type="dxa"/>
            <w:tcBorders>
              <w:bottom w:val="nil"/>
            </w:tcBorders>
          </w:tcPr>
          <w:p w14:paraId="5C660E94" w14:textId="002D2127" w:rsidR="00A46F4F" w:rsidRPr="00471A9B" w:rsidRDefault="00A46F4F" w:rsidP="00A46F4F">
            <w:pPr>
              <w:pStyle w:val="NormalWeb"/>
              <w:rPr>
                <w:rFonts w:ascii="Arial" w:hAnsi="Arial" w:cs="Arial"/>
                <w:color w:val="000000"/>
              </w:rPr>
            </w:pPr>
            <w:r w:rsidRPr="00471A9B">
              <w:rPr>
                <w:rFonts w:ascii="Arial" w:hAnsi="Arial" w:cs="Arial"/>
                <w:color w:val="000000"/>
              </w:rPr>
              <w:lastRenderedPageBreak/>
              <w:t>The CHBG Editorial Team supported the authors in the development of this review.</w:t>
            </w:r>
          </w:p>
          <w:p w14:paraId="52EF92F5" w14:textId="5E5D844C" w:rsidR="00A46F4F" w:rsidRPr="00471A9B" w:rsidRDefault="00A46F4F" w:rsidP="00A46F4F">
            <w:pPr>
              <w:pStyle w:val="NormalWeb"/>
              <w:rPr>
                <w:rFonts w:ascii="Arial" w:hAnsi="Arial" w:cs="Arial"/>
                <w:color w:val="000000"/>
              </w:rPr>
            </w:pPr>
            <w:r w:rsidRPr="00471A9B">
              <w:rPr>
                <w:rFonts w:ascii="Arial" w:hAnsi="Arial" w:cs="Arial"/>
                <w:color w:val="000000"/>
              </w:rPr>
              <w:lastRenderedPageBreak/>
              <w:t>The following people from the CHB Editorial Team conducted the editorial process for this article.</w:t>
            </w:r>
          </w:p>
          <w:p w14:paraId="2C145F4A" w14:textId="504A5A23"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 xml:space="preserve">ordinating Editor, Denmark </w:t>
            </w:r>
          </w:p>
          <w:p w14:paraId="3E0F918E" w14:textId="4F70CF59"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Contact Editor (provided editorial decision): Ronald L Koretz, USA</w:t>
            </w:r>
            <w:r w:rsidRPr="009D4621">
              <w:rPr>
                <w:rFonts w:ascii="Arial" w:hAnsi="Arial" w:cs="Arial"/>
                <w:color w:val="000000"/>
              </w:rPr>
              <w:t xml:space="preserve"> </w:t>
            </w:r>
          </w:p>
          <w:p w14:paraId="280086FF" w14:textId="2C72CDA5"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9D4621">
              <w:rPr>
                <w:rFonts w:ascii="Arial" w:hAnsi="Arial" w:cs="Arial"/>
                <w:color w:val="000000"/>
              </w:rPr>
              <w:t>M</w:t>
            </w:r>
            <w:r w:rsidR="00037A2F">
              <w:rPr>
                <w:rFonts w:ascii="Arial" w:hAnsi="Arial" w:cs="Arial"/>
                <w:color w:val="000000"/>
              </w:rPr>
              <w:t>anaging</w:t>
            </w:r>
            <w:r w:rsidRPr="00471A9B">
              <w:rPr>
                <w:rFonts w:ascii="Arial" w:hAnsi="Arial" w:cs="Arial"/>
                <w:color w:val="000000"/>
              </w:rPr>
              <w:t xml:space="preserve"> Editor (selected peer reviewers, provided editorial guidance to authors, edited the article): Dimitrinka Nikolova, Denmark</w:t>
            </w:r>
            <w:r w:rsidRPr="009D4621">
              <w:rPr>
                <w:rFonts w:ascii="Arial" w:hAnsi="Arial" w:cs="Arial"/>
                <w:color w:val="000000"/>
              </w:rPr>
              <w:t xml:space="preserve"> </w:t>
            </w:r>
          </w:p>
          <w:p w14:paraId="05611929" w14:textId="727AE55E"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Information Specialist (database searches): Sarah Louise Klingenberg, Denmark</w:t>
            </w:r>
          </w:p>
          <w:p w14:paraId="790EE7AC" w14:textId="6FBE2D59" w:rsidR="00A46F4F" w:rsidRPr="009D4621" w:rsidRDefault="00A46F4F" w:rsidP="00A46F4F">
            <w:pPr>
              <w:pStyle w:val="NormalWeb"/>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reviewers: Steve McDonald (Information Specialist), Australia; Paola Andrenacci, Argentina; Eric Ian Benchimol, Canada; Amanda Brand, South Africa (clinical and content review comments); Paola Andrenacci, Argentina (consumer peer review)</w:t>
            </w:r>
          </w:p>
          <w:p w14:paraId="1FC59FED" w14:textId="77777777" w:rsidR="00A46F4F" w:rsidRPr="00471A9B" w:rsidRDefault="00A46F4F" w:rsidP="00A46F4F">
            <w:pPr>
              <w:pStyle w:val="NormalWeb"/>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614FD8C2" w14:textId="1219611E" w:rsidR="00F26ED8" w:rsidRPr="00471A9B" w:rsidRDefault="00A46F4F" w:rsidP="00A46F4F">
            <w:pPr>
              <w:pStyle w:val="NormalWeb"/>
              <w:rPr>
                <w:rFonts w:ascii="Arial" w:hAnsi="Arial" w:cs="Arial"/>
                <w:color w:val="000000"/>
              </w:rPr>
            </w:pPr>
            <w:r w:rsidRPr="00471A9B">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F26ED8" w:rsidRPr="00471A9B" w14:paraId="7950E979" w14:textId="77777777" w:rsidTr="004915C4">
        <w:tc>
          <w:tcPr>
            <w:tcW w:w="835" w:type="dxa"/>
            <w:tcBorders>
              <w:top w:val="nil"/>
              <w:bottom w:val="single" w:sz="4" w:space="0" w:color="auto"/>
            </w:tcBorders>
          </w:tcPr>
          <w:p w14:paraId="37F9A144" w14:textId="677272FB" w:rsidR="00874611" w:rsidRPr="009D4621" w:rsidRDefault="00874611" w:rsidP="00F26ED8">
            <w:pPr>
              <w:pStyle w:val="NormalWeb"/>
              <w:rPr>
                <w:rFonts w:ascii="Arial" w:hAnsi="Arial" w:cs="Arial"/>
                <w:color w:val="000000"/>
              </w:rPr>
            </w:pPr>
          </w:p>
        </w:tc>
        <w:tc>
          <w:tcPr>
            <w:tcW w:w="4100" w:type="dxa"/>
            <w:tcBorders>
              <w:top w:val="nil"/>
              <w:bottom w:val="single" w:sz="4" w:space="0" w:color="auto"/>
            </w:tcBorders>
          </w:tcPr>
          <w:p w14:paraId="7EAC83CB" w14:textId="77777777" w:rsidR="00F26ED8" w:rsidRPr="009D4621" w:rsidRDefault="00F26ED8" w:rsidP="00F26ED8">
            <w:pPr>
              <w:pStyle w:val="NormalWeb"/>
              <w:rPr>
                <w:rFonts w:ascii="Arial" w:hAnsi="Arial" w:cs="Arial"/>
                <w:color w:val="000000"/>
              </w:rPr>
            </w:pPr>
          </w:p>
        </w:tc>
        <w:tc>
          <w:tcPr>
            <w:tcW w:w="4179" w:type="dxa"/>
            <w:tcBorders>
              <w:top w:val="nil"/>
              <w:bottom w:val="single" w:sz="4" w:space="0" w:color="auto"/>
            </w:tcBorders>
          </w:tcPr>
          <w:p w14:paraId="3B48F7A3" w14:textId="77777777" w:rsidR="00F26ED8" w:rsidRPr="009D4621" w:rsidRDefault="00F26ED8" w:rsidP="00F26ED8">
            <w:pPr>
              <w:pStyle w:val="NormalWeb"/>
              <w:rPr>
                <w:rFonts w:ascii="Arial" w:hAnsi="Arial" w:cs="Arial"/>
                <w:color w:val="000000"/>
              </w:rPr>
            </w:pPr>
          </w:p>
        </w:tc>
      </w:tr>
      <w:tr w:rsidR="00F26ED8" w:rsidRPr="00471A9B" w14:paraId="3BB9F1DA" w14:textId="77777777" w:rsidTr="004915C4">
        <w:tc>
          <w:tcPr>
            <w:tcW w:w="835" w:type="dxa"/>
            <w:tcBorders>
              <w:top w:val="single" w:sz="4" w:space="0" w:color="auto"/>
            </w:tcBorders>
          </w:tcPr>
          <w:p w14:paraId="61F40B0F" w14:textId="6DDC7229" w:rsidR="00F26ED8" w:rsidRPr="009D4621" w:rsidRDefault="004915C4" w:rsidP="00F26ED8">
            <w:pPr>
              <w:pStyle w:val="NormalWeb"/>
              <w:rPr>
                <w:rFonts w:ascii="Arial" w:hAnsi="Arial" w:cs="Arial"/>
                <w:color w:val="000000"/>
              </w:rPr>
            </w:pPr>
            <w:r w:rsidRPr="009D4621">
              <w:rPr>
                <w:rFonts w:ascii="Arial" w:hAnsi="Arial" w:cs="Arial"/>
                <w:color w:val="000000"/>
              </w:rPr>
              <w:t xml:space="preserve">4. </w:t>
            </w:r>
          </w:p>
        </w:tc>
        <w:tc>
          <w:tcPr>
            <w:tcW w:w="4100" w:type="dxa"/>
            <w:tcBorders>
              <w:top w:val="single" w:sz="4" w:space="0" w:color="auto"/>
            </w:tcBorders>
          </w:tcPr>
          <w:p w14:paraId="6A5917B0" w14:textId="54BFB897" w:rsidR="00F26ED8" w:rsidRPr="00471A9B" w:rsidRDefault="001F105E" w:rsidP="001F105E">
            <w:pPr>
              <w:pStyle w:val="NormalWeb"/>
              <w:shd w:val="clear" w:color="auto" w:fill="FFFFFF"/>
              <w:spacing w:before="0" w:beforeAutospacing="0" w:after="150" w:afterAutospacing="0"/>
              <w:ind w:left="52"/>
              <w:rPr>
                <w:rFonts w:ascii="Arial" w:hAnsi="Arial" w:cs="Arial"/>
                <w:color w:val="000000"/>
              </w:rPr>
            </w:pPr>
            <w:r w:rsidRPr="001F105E">
              <w:rPr>
                <w:rFonts w:ascii="Arial" w:hAnsi="Arial" w:cs="Arial"/>
                <w:color w:val="000000"/>
              </w:rPr>
              <w:t>Win TZ, Perinpanathan T, Mukadi P, Smith C, Edwards T, Han SM, Maung HT, Brett-Major DM, Lee N. Antibiotic prophylaxis for leptospirosis. Cochrane Database of Systematic Reviews 2024, Issue 3.</w:t>
            </w:r>
          </w:p>
        </w:tc>
        <w:tc>
          <w:tcPr>
            <w:tcW w:w="4179" w:type="dxa"/>
            <w:tcBorders>
              <w:top w:val="single" w:sz="4" w:space="0" w:color="auto"/>
            </w:tcBorders>
          </w:tcPr>
          <w:p w14:paraId="46DAAADC" w14:textId="77777777" w:rsidR="002A303B" w:rsidRPr="009D4621" w:rsidRDefault="002A303B" w:rsidP="002A303B">
            <w:pPr>
              <w:pStyle w:val="NormalWeb"/>
              <w:shd w:val="clear" w:color="auto" w:fill="FFFFFF"/>
              <w:spacing w:before="0" w:beforeAutospacing="0" w:after="150" w:afterAutospacing="0"/>
              <w:rPr>
                <w:rFonts w:ascii="Arial" w:hAnsi="Arial" w:cs="Arial"/>
                <w:color w:val="000000"/>
              </w:rPr>
            </w:pPr>
            <w:r w:rsidRPr="001F105E">
              <w:rPr>
                <w:rFonts w:ascii="Arial" w:hAnsi="Arial" w:cs="Arial"/>
                <w:color w:val="000000"/>
              </w:rPr>
              <w:t>The Cochrane Hepato</w:t>
            </w:r>
            <w:r w:rsidRPr="009D4621">
              <w:rPr>
                <w:rFonts w:ascii="Cambria Math" w:hAnsi="Cambria Math" w:cs="Cambria Math"/>
                <w:color w:val="000000"/>
              </w:rPr>
              <w:t>‐</w:t>
            </w:r>
            <w:r w:rsidRPr="001F105E">
              <w:rPr>
                <w:rFonts w:ascii="Arial" w:hAnsi="Arial" w:cs="Arial"/>
                <w:color w:val="000000"/>
              </w:rPr>
              <w:t xml:space="preserve">Biliary Group (CHBG) supported the authors in the development of this review. The </w:t>
            </w:r>
            <w:r w:rsidRPr="009D4621">
              <w:rPr>
                <w:rFonts w:ascii="Arial" w:hAnsi="Arial" w:cs="Arial"/>
                <w:color w:val="000000"/>
              </w:rPr>
              <w:t>following people conducted the editorial process.</w:t>
            </w:r>
          </w:p>
          <w:p w14:paraId="4DD99530" w14:textId="30421F01" w:rsidR="002A303B" w:rsidRPr="00FA7AF4" w:rsidRDefault="002A303B" w:rsidP="00FA7AF4">
            <w:pPr>
              <w:pStyle w:val="NormalWeb"/>
              <w:numPr>
                <w:ilvl w:val="0"/>
                <w:numId w:val="3"/>
              </w:numPr>
              <w:shd w:val="clear" w:color="auto" w:fill="FFFFFF"/>
              <w:tabs>
                <w:tab w:val="clear" w:pos="720"/>
                <w:tab w:val="num" w:pos="59"/>
              </w:tabs>
              <w:spacing w:before="0" w:beforeAutospacing="0" w:after="150" w:afterAutospacing="0"/>
              <w:ind w:left="201" w:hanging="173"/>
              <w:rPr>
                <w:rFonts w:ascii="Arial" w:hAnsi="Arial" w:cs="Arial"/>
                <w:color w:val="000000"/>
              </w:rPr>
            </w:pPr>
            <w:r w:rsidRPr="00FA7AF4">
              <w:rPr>
                <w:rFonts w:ascii="Arial" w:hAnsi="Arial" w:cs="Arial"/>
                <w:color w:val="000000"/>
              </w:rPr>
              <w:t>Sign</w:t>
            </w:r>
            <w:r w:rsidRPr="009D4621">
              <w:rPr>
                <w:rFonts w:ascii="Cambria Math" w:hAnsi="Cambria Math" w:cs="Cambria Math"/>
                <w:color w:val="000000"/>
              </w:rPr>
              <w:t>‐</w:t>
            </w:r>
            <w:r w:rsidRPr="00FA7AF4">
              <w:rPr>
                <w:rFonts w:ascii="Arial" w:hAnsi="Arial" w:cs="Arial"/>
                <w:color w:val="000000"/>
              </w:rPr>
              <w:t>off Editor (final editorial</w:t>
            </w:r>
            <w:r w:rsidR="00FA7AF4">
              <w:rPr>
                <w:rFonts w:ascii="Arial" w:hAnsi="Arial" w:cs="Arial"/>
                <w:color w:val="000000"/>
              </w:rPr>
              <w:t xml:space="preserve"> d</w:t>
            </w:r>
            <w:r w:rsidR="00FA7AF4" w:rsidRPr="00FA7AF4">
              <w:rPr>
                <w:rFonts w:ascii="Arial" w:hAnsi="Arial" w:cs="Arial"/>
                <w:color w:val="000000"/>
              </w:rPr>
              <w:t>ecision): Christian Gluud, Co</w:t>
            </w:r>
            <w:r w:rsidR="00FA7AF4" w:rsidRPr="009D4621">
              <w:rPr>
                <w:rFonts w:ascii="Cambria Math" w:hAnsi="Cambria Math" w:cs="Cambria Math"/>
                <w:color w:val="000000"/>
              </w:rPr>
              <w:t>‐</w:t>
            </w:r>
            <w:r w:rsidR="00FA7AF4" w:rsidRPr="00FA7AF4">
              <w:rPr>
                <w:rFonts w:ascii="Arial" w:hAnsi="Arial" w:cs="Arial"/>
                <w:color w:val="000000"/>
              </w:rPr>
              <w:t>ordinating Editor, CHBG, Denmark</w:t>
            </w:r>
            <w:r w:rsidRPr="00FA7AF4">
              <w:rPr>
                <w:rFonts w:ascii="Arial" w:hAnsi="Arial" w:cs="Arial"/>
                <w:color w:val="000000"/>
              </w:rPr>
              <w:t xml:space="preserve"> </w:t>
            </w:r>
          </w:p>
          <w:p w14:paraId="2F3D260F"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lastRenderedPageBreak/>
              <w:t>Contact Editor (provided editorial decision): Goran Poropat, Croatia</w:t>
            </w:r>
          </w:p>
          <w:p w14:paraId="57E9DC33"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t>Managing Editor (selected peer reviewers and editors, provided editorial guidance to authors, edited the review): Dimitrinka Nikolova, Denmark</w:t>
            </w:r>
          </w:p>
          <w:p w14:paraId="41B166B2"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t>Information Specialist (design and running the searches): Sarah Klingenberg, Denmark</w:t>
            </w:r>
          </w:p>
          <w:p w14:paraId="4DBD9028" w14:textId="77777777" w:rsidR="002A303B" w:rsidRPr="00FA7AF4" w:rsidRDefault="002A303B" w:rsidP="00037A2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Peer</w:t>
            </w:r>
            <w:r w:rsidRPr="009D4621">
              <w:rPr>
                <w:rFonts w:ascii="Cambria Math" w:hAnsi="Cambria Math" w:cs="Cambria Math"/>
                <w:color w:val="000000"/>
              </w:rPr>
              <w:t>‐</w:t>
            </w:r>
            <w:r w:rsidRPr="00FA7AF4">
              <w:rPr>
                <w:rFonts w:ascii="Arial" w:hAnsi="Arial" w:cs="Arial"/>
                <w:color w:val="000000"/>
              </w:rPr>
              <w:t>reviewers (provided clinical and content review comments): Cristina Torres Vargas, Spain; Benjie M Clemente, The Philippines; Juan Carlos Gabaldón Figueira, Spain; (checked Trial Sequential Analysis text and figures); Mark Aninakwah Asante, Denmark; (provided comments on RoB 2): Rachel Richardson, UK</w:t>
            </w:r>
          </w:p>
          <w:p w14:paraId="7C503208" w14:textId="77777777" w:rsidR="002A303B" w:rsidRPr="00FA7AF4" w:rsidRDefault="002A303B" w:rsidP="00037A2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Evidence Synthesis Development Editor (screening comments): Leslie Choi, Evidence Production and Methods Department, Cochrane, UK</w:t>
            </w:r>
          </w:p>
          <w:p w14:paraId="76EEA196" w14:textId="72AF6ABA" w:rsidR="00F26ED8" w:rsidRPr="00471A9B" w:rsidRDefault="002A303B" w:rsidP="00FA7AF4">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F26ED8" w:rsidRPr="00471A9B" w14:paraId="335AD671" w14:textId="77777777" w:rsidTr="004915C4">
        <w:tc>
          <w:tcPr>
            <w:tcW w:w="835" w:type="dxa"/>
          </w:tcPr>
          <w:p w14:paraId="6780037F" w14:textId="06D337F6" w:rsidR="00F26ED8" w:rsidRPr="009D4621" w:rsidRDefault="004915C4" w:rsidP="00F26ED8">
            <w:pPr>
              <w:pStyle w:val="NormalWeb"/>
              <w:rPr>
                <w:rFonts w:ascii="Arial" w:hAnsi="Arial" w:cs="Arial"/>
                <w:color w:val="000000"/>
              </w:rPr>
            </w:pPr>
            <w:r w:rsidRPr="009D4621">
              <w:rPr>
                <w:rFonts w:ascii="Arial" w:hAnsi="Arial" w:cs="Arial"/>
                <w:color w:val="000000"/>
              </w:rPr>
              <w:lastRenderedPageBreak/>
              <w:t>5.</w:t>
            </w:r>
          </w:p>
        </w:tc>
        <w:tc>
          <w:tcPr>
            <w:tcW w:w="4100" w:type="dxa"/>
          </w:tcPr>
          <w:p w14:paraId="35130E08" w14:textId="5D972625" w:rsidR="00F26ED8" w:rsidRPr="00FA7AF4" w:rsidRDefault="00167A11" w:rsidP="00F26ED8">
            <w:pPr>
              <w:pStyle w:val="NormalWeb"/>
              <w:rPr>
                <w:rFonts w:ascii="Arial" w:hAnsi="Arial" w:cs="Arial"/>
                <w:color w:val="000000"/>
              </w:rPr>
            </w:pPr>
            <w:r w:rsidRPr="00FA7AF4">
              <w:rPr>
                <w:rFonts w:ascii="Arial" w:hAnsi="Arial" w:cs="Arial"/>
                <w:color w:val="000000"/>
              </w:rPr>
              <w:t xml:space="preserve">Win TZ, Han SM, Edwards T, Maung HT, Brett-Major DM, Smith C, Lee N. Antibiotics for treatment of leptospirosis. Cochrane Database of Systematic Reviews 2024, Issue 3. Art. No.: CD014960. DOI: 10.1002/14651858.CD014960.pub2. Accessed 18 March 2024. Art. No.: CD014959. DOI: 10.1002/14651858.CD014959.pub2. </w:t>
            </w:r>
          </w:p>
        </w:tc>
        <w:tc>
          <w:tcPr>
            <w:tcW w:w="4179" w:type="dxa"/>
          </w:tcPr>
          <w:p w14:paraId="50B8DCC2" w14:textId="77777777" w:rsidR="008E6F6F" w:rsidRPr="00FA7AF4" w:rsidRDefault="008E6F6F" w:rsidP="008E6F6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The Cochrane Hepato</w:t>
            </w:r>
            <w:r w:rsidRPr="009D4621">
              <w:rPr>
                <w:rFonts w:ascii="Cambria Math" w:hAnsi="Cambria Math" w:cs="Cambria Math"/>
                <w:color w:val="000000"/>
              </w:rPr>
              <w:t>‐</w:t>
            </w:r>
            <w:r w:rsidRPr="00FA7AF4">
              <w:rPr>
                <w:rFonts w:ascii="Arial" w:hAnsi="Arial" w:cs="Arial"/>
                <w:color w:val="000000"/>
              </w:rPr>
              <w:t>Biliary Group (CHBG) Editorial Team supported the authors in the development of this review.</w:t>
            </w:r>
          </w:p>
          <w:p w14:paraId="5EF9D518" w14:textId="77777777" w:rsidR="008E6F6F" w:rsidRPr="00FA7AF4" w:rsidRDefault="008E6F6F" w:rsidP="008E6F6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The following people conducted the editorial process for this article.</w:t>
            </w:r>
          </w:p>
          <w:p w14:paraId="645808A7" w14:textId="77777777" w:rsidR="00F20EA0" w:rsidRDefault="008E6F6F" w:rsidP="00F20EA0">
            <w:pPr>
              <w:pStyle w:val="NormalWeb"/>
              <w:numPr>
                <w:ilvl w:val="0"/>
                <w:numId w:val="12"/>
              </w:numPr>
              <w:shd w:val="clear" w:color="auto" w:fill="FFFFFF"/>
              <w:tabs>
                <w:tab w:val="clear" w:pos="720"/>
                <w:tab w:val="num" w:pos="201"/>
              </w:tabs>
              <w:spacing w:before="0" w:beforeAutospacing="0" w:after="150" w:afterAutospacing="0"/>
              <w:ind w:left="201" w:hanging="201"/>
              <w:rPr>
                <w:rFonts w:ascii="Arial" w:hAnsi="Arial" w:cs="Arial"/>
                <w:color w:val="000000"/>
              </w:rPr>
            </w:pPr>
            <w:r w:rsidRPr="00E230EF">
              <w:rPr>
                <w:rFonts w:ascii="Arial" w:hAnsi="Arial" w:cs="Arial"/>
                <w:color w:val="000000"/>
              </w:rPr>
              <w:t>Sign</w:t>
            </w:r>
            <w:r w:rsidRPr="00E230EF">
              <w:rPr>
                <w:rFonts w:ascii="Cambria Math" w:hAnsi="Cambria Math" w:cs="Cambria Math"/>
                <w:color w:val="000000"/>
              </w:rPr>
              <w:t>‐</w:t>
            </w:r>
            <w:r w:rsidRPr="00E230EF">
              <w:rPr>
                <w:rFonts w:ascii="Arial" w:hAnsi="Arial" w:cs="Arial"/>
                <w:color w:val="000000"/>
              </w:rPr>
              <w:t>off Editor (final editorial decision): Christian Gluud, Co</w:t>
            </w:r>
            <w:r w:rsidRPr="00E230EF">
              <w:rPr>
                <w:rFonts w:ascii="Cambria Math" w:hAnsi="Cambria Math" w:cs="Cambria Math"/>
                <w:color w:val="000000"/>
              </w:rPr>
              <w:t>‐</w:t>
            </w:r>
            <w:r w:rsidRPr="00E230EF">
              <w:rPr>
                <w:rFonts w:ascii="Arial" w:hAnsi="Arial" w:cs="Arial"/>
                <w:color w:val="000000"/>
              </w:rPr>
              <w:t>ordinating Editor Cochrane Hepato</w:t>
            </w:r>
            <w:r w:rsidRPr="00E230EF">
              <w:rPr>
                <w:rFonts w:ascii="Cambria Math" w:hAnsi="Cambria Math" w:cs="Cambria Math"/>
                <w:color w:val="000000"/>
              </w:rPr>
              <w:t>‐</w:t>
            </w:r>
            <w:r w:rsidRPr="00E230EF">
              <w:rPr>
                <w:rFonts w:ascii="Arial" w:hAnsi="Arial" w:cs="Arial"/>
                <w:color w:val="000000"/>
              </w:rPr>
              <w:t>Biliary Group, Denmark</w:t>
            </w:r>
            <w:r w:rsidR="009D4621" w:rsidRPr="00E230EF">
              <w:rPr>
                <w:rFonts w:ascii="Arial" w:hAnsi="Arial" w:cs="Arial"/>
                <w:color w:val="000000"/>
              </w:rPr>
              <w:t xml:space="preserve"> </w:t>
            </w:r>
          </w:p>
          <w:p w14:paraId="6AFF4476" w14:textId="4850F1C6" w:rsidR="008E6F6F" w:rsidRPr="00E230EF" w:rsidRDefault="008E6F6F" w:rsidP="00F20EA0">
            <w:pPr>
              <w:pStyle w:val="NormalWeb"/>
              <w:numPr>
                <w:ilvl w:val="0"/>
                <w:numId w:val="12"/>
              </w:numPr>
              <w:shd w:val="clear" w:color="auto" w:fill="FFFFFF"/>
              <w:tabs>
                <w:tab w:val="clear" w:pos="720"/>
                <w:tab w:val="num" w:pos="201"/>
              </w:tabs>
              <w:spacing w:before="0" w:beforeAutospacing="0" w:after="150" w:afterAutospacing="0"/>
              <w:ind w:left="201" w:hanging="201"/>
              <w:rPr>
                <w:rFonts w:ascii="Arial" w:hAnsi="Arial" w:cs="Arial"/>
                <w:color w:val="000000"/>
              </w:rPr>
            </w:pPr>
            <w:r w:rsidRPr="00E230EF">
              <w:rPr>
                <w:rFonts w:ascii="Arial" w:hAnsi="Arial" w:cs="Arial"/>
                <w:color w:val="000000"/>
              </w:rPr>
              <w:t>Contact Editor (provided editorial decision): Christian Gluud, Denmark</w:t>
            </w:r>
            <w:r w:rsidR="00E230EF">
              <w:rPr>
                <w:rFonts w:ascii="Arial" w:hAnsi="Arial" w:cs="Arial"/>
                <w:color w:val="000000"/>
              </w:rPr>
              <w:t xml:space="preserve"> </w:t>
            </w:r>
            <w:r w:rsidRPr="00E230EF">
              <w:rPr>
                <w:rFonts w:ascii="Arial" w:hAnsi="Arial" w:cs="Arial"/>
                <w:color w:val="000000"/>
              </w:rPr>
              <w:t xml:space="preserve">Statistical Editor (commented on statistics): Giovanni Casazza, Department of Clinical Sciences and Community </w:t>
            </w:r>
            <w:r w:rsidRPr="00E230EF">
              <w:rPr>
                <w:rFonts w:ascii="Arial" w:hAnsi="Arial" w:cs="Arial"/>
                <w:color w:val="000000"/>
              </w:rPr>
              <w:lastRenderedPageBreak/>
              <w:t>Health, Università degli Studi di Milano, Italy</w:t>
            </w:r>
          </w:p>
          <w:p w14:paraId="5DF252F5" w14:textId="77777777" w:rsidR="008E6F6F" w:rsidRPr="00FA7AF4" w:rsidRDefault="008E6F6F" w:rsidP="00FA7AF4">
            <w:pPr>
              <w:pStyle w:val="NormalWeb"/>
              <w:numPr>
                <w:ilvl w:val="0"/>
                <w:numId w:val="9"/>
              </w:numPr>
              <w:shd w:val="clear" w:color="auto" w:fill="FFFFFF"/>
              <w:spacing w:before="0" w:beforeAutospacing="0" w:after="150" w:afterAutospacing="0"/>
              <w:ind w:left="201" w:hanging="142"/>
              <w:rPr>
                <w:rFonts w:ascii="Arial" w:hAnsi="Arial" w:cs="Arial"/>
                <w:color w:val="000000"/>
              </w:rPr>
            </w:pPr>
            <w:r w:rsidRPr="00FA7AF4">
              <w:rPr>
                <w:rFonts w:ascii="Arial" w:hAnsi="Arial" w:cs="Arial"/>
                <w:color w:val="000000"/>
              </w:rPr>
              <w:t>Managing Editor (selected peer reviewers, provided editorial guidance to authors, edited the article): Dimitrinka Nikolova, Denmark</w:t>
            </w:r>
          </w:p>
          <w:p w14:paraId="34657704" w14:textId="77777777" w:rsidR="008E6F6F" w:rsidRPr="00FA7AF4" w:rsidRDefault="008E6F6F" w:rsidP="00FA7AF4">
            <w:pPr>
              <w:pStyle w:val="NormalWeb"/>
              <w:numPr>
                <w:ilvl w:val="0"/>
                <w:numId w:val="9"/>
              </w:numPr>
              <w:shd w:val="clear" w:color="auto" w:fill="FFFFFF"/>
              <w:spacing w:before="0" w:beforeAutospacing="0" w:after="150" w:afterAutospacing="0"/>
              <w:ind w:left="201" w:hanging="142"/>
              <w:rPr>
                <w:rFonts w:ascii="Arial" w:hAnsi="Arial" w:cs="Arial"/>
                <w:color w:val="000000"/>
              </w:rPr>
            </w:pPr>
            <w:r w:rsidRPr="00FA7AF4">
              <w:rPr>
                <w:rFonts w:ascii="Arial" w:hAnsi="Arial" w:cs="Arial"/>
                <w:color w:val="000000"/>
              </w:rPr>
              <w:t>Information Specialist (database searches): Sarah Louise Klingenberg, Denmark</w:t>
            </w:r>
          </w:p>
          <w:p w14:paraId="3393B184" w14:textId="77777777" w:rsidR="008E6F6F" w:rsidRPr="00FA7AF4" w:rsidRDefault="008E6F6F" w:rsidP="00FA7AF4">
            <w:pPr>
              <w:pStyle w:val="NormalWeb"/>
              <w:shd w:val="clear" w:color="auto" w:fill="FFFFFF"/>
              <w:spacing w:before="0" w:beforeAutospacing="0" w:after="150" w:afterAutospacing="0"/>
              <w:ind w:left="59"/>
              <w:rPr>
                <w:rFonts w:ascii="Arial" w:hAnsi="Arial" w:cs="Arial"/>
                <w:color w:val="000000"/>
              </w:rPr>
            </w:pPr>
            <w:r w:rsidRPr="00FA7AF4">
              <w:rPr>
                <w:rFonts w:ascii="Arial" w:hAnsi="Arial" w:cs="Arial"/>
                <w:color w:val="000000"/>
              </w:rPr>
              <w:t>External and internal peer</w:t>
            </w:r>
            <w:r w:rsidRPr="009D4621">
              <w:rPr>
                <w:rFonts w:ascii="Cambria Math" w:hAnsi="Cambria Math" w:cs="Cambria Math"/>
                <w:color w:val="000000"/>
              </w:rPr>
              <w:t>‐</w:t>
            </w:r>
            <w:r w:rsidRPr="00FA7AF4">
              <w:rPr>
                <w:rFonts w:ascii="Arial" w:hAnsi="Arial" w:cs="Arial"/>
                <w:color w:val="000000"/>
              </w:rPr>
              <w:t>reviewers (provided clinical and content review comments): David Haake, USA; Rehab Emad Ashmawy, Egypt; Robin M Featherstone, Editorial and Methods Department, Cochrane Executive, London, UK; (provided comments on the plain language summary): Paola Andrenacci, Argentina; (checked Trial Sequential Analysis text and figures); Mark Aninakwah Asante, Denmark; Evidence Synthesis Development Editor (screening comments): Leslie Choi, Evidence Production and Methods Department, Cochrane, UK</w:t>
            </w:r>
          </w:p>
          <w:p w14:paraId="370E1C27" w14:textId="4E9E4F91" w:rsidR="00F26ED8" w:rsidRPr="008E6F6F" w:rsidRDefault="008E6F6F" w:rsidP="00FA7AF4">
            <w:pPr>
              <w:pStyle w:val="NormalWeb"/>
              <w:shd w:val="clear" w:color="auto" w:fill="FFFFFF"/>
              <w:spacing w:before="0" w:beforeAutospacing="0" w:after="150" w:afterAutospacing="0"/>
              <w:ind w:left="59"/>
              <w:rPr>
                <w:rFonts w:ascii="Arial" w:hAnsi="Arial" w:cs="Arial"/>
                <w:color w:val="000000"/>
              </w:rPr>
            </w:pPr>
            <w:r w:rsidRPr="00FA7AF4">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2B2A76" w:rsidRPr="00471A9B" w14:paraId="277CD42C" w14:textId="77777777" w:rsidTr="004915C4">
        <w:tc>
          <w:tcPr>
            <w:tcW w:w="835" w:type="dxa"/>
          </w:tcPr>
          <w:p w14:paraId="2B6CAD5F" w14:textId="2786687A" w:rsidR="002B2A76" w:rsidRPr="009D4621" w:rsidRDefault="002B2A76" w:rsidP="00F26ED8">
            <w:pPr>
              <w:pStyle w:val="NormalWeb"/>
              <w:rPr>
                <w:rFonts w:ascii="Arial" w:hAnsi="Arial" w:cs="Arial"/>
                <w:color w:val="000000"/>
              </w:rPr>
            </w:pPr>
            <w:r>
              <w:rPr>
                <w:rFonts w:ascii="Arial" w:hAnsi="Arial" w:cs="Arial"/>
                <w:color w:val="000000"/>
              </w:rPr>
              <w:lastRenderedPageBreak/>
              <w:t>6.</w:t>
            </w:r>
          </w:p>
        </w:tc>
        <w:tc>
          <w:tcPr>
            <w:tcW w:w="4100" w:type="dxa"/>
          </w:tcPr>
          <w:p w14:paraId="0343DB0D" w14:textId="1D9E5572" w:rsidR="002B2A76" w:rsidRPr="00FA7AF4" w:rsidRDefault="002B2A76" w:rsidP="00F26ED8">
            <w:pPr>
              <w:pStyle w:val="NormalWeb"/>
              <w:rPr>
                <w:rFonts w:ascii="Arial" w:hAnsi="Arial" w:cs="Arial"/>
                <w:color w:val="000000"/>
              </w:rPr>
            </w:pPr>
            <w:r w:rsidRPr="002B2A76">
              <w:rPr>
                <w:rFonts w:ascii="Arial" w:hAnsi="Arial" w:cs="Arial"/>
                <w:color w:val="000000"/>
              </w:rPr>
              <w:t xml:space="preserve">Naing C, Ni H, Aung HH, Pavlov CS. Endoscopic sphincterotomy for adults with biliary sphincter of Oddi dysfunction. Cochrane Database of Systematic Reviews 2024, Issue 3. Art. No.: CD014944. DOI: 10.1002/14651858.CD014944.pub2. </w:t>
            </w:r>
          </w:p>
        </w:tc>
        <w:tc>
          <w:tcPr>
            <w:tcW w:w="4179" w:type="dxa"/>
          </w:tcPr>
          <w:p w14:paraId="2A3A4A30" w14:textId="77777777" w:rsidR="002810F4" w:rsidRPr="00471A9B" w:rsidRDefault="002810F4" w:rsidP="002810F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6CF65E4F"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The following people from the CHB Editorial Team conducted the editorial process for this review.</w:t>
            </w:r>
          </w:p>
          <w:p w14:paraId="428CDD5B"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Sign</w:t>
            </w:r>
            <w:r w:rsidRPr="000B528C">
              <w:rPr>
                <w:rFonts w:ascii="Cambria Math" w:hAnsi="Cambria Math" w:cs="Cambria Math"/>
                <w:color w:val="000000"/>
              </w:rPr>
              <w:t>‐</w:t>
            </w:r>
            <w:r w:rsidRPr="000B528C">
              <w:rPr>
                <w:rFonts w:ascii="Arial" w:hAnsi="Arial" w:cs="Arial"/>
                <w:color w:val="000000"/>
              </w:rPr>
              <w:t>off Editor (final editorial decision): Brian Davidson, Editor, UK</w:t>
            </w:r>
          </w:p>
          <w:p w14:paraId="3114D230"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 xml:space="preserve">Contact Editors (provided editorial decision): Luit Penninga, CHBG Editor, Denmark; Stefano Trastulli, CHBG Editor, Italy; Christian </w:t>
            </w:r>
            <w:r w:rsidRPr="000B528C">
              <w:rPr>
                <w:rFonts w:ascii="Arial" w:hAnsi="Arial" w:cs="Arial"/>
                <w:color w:val="000000"/>
              </w:rPr>
              <w:lastRenderedPageBreak/>
              <w:t>Gluud, Co</w:t>
            </w:r>
            <w:r w:rsidRPr="000B528C">
              <w:rPr>
                <w:rFonts w:ascii="Cambria Math" w:hAnsi="Cambria Math" w:cs="Cambria Math"/>
                <w:color w:val="000000"/>
              </w:rPr>
              <w:t>‐</w:t>
            </w:r>
            <w:r w:rsidRPr="000B528C">
              <w:rPr>
                <w:rFonts w:ascii="Arial" w:hAnsi="Arial" w:cs="Arial"/>
                <w:color w:val="000000"/>
              </w:rPr>
              <w:t>ordinating Editor, Denmark</w:t>
            </w:r>
          </w:p>
          <w:p w14:paraId="06D04505"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Statistical Editor (checked statistical methods): Giovanni Casazza, Editor, Italy</w:t>
            </w:r>
          </w:p>
          <w:p w14:paraId="7EF49286"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Managing Editor (selected peer reviewers and editors, provided editorial guidance to authors, edited the review): Dimitrinka Nikolova, Denmark</w:t>
            </w:r>
          </w:p>
          <w:p w14:paraId="07A62A5A" w14:textId="58E246C8"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Information Specialist (database searches): Sarah Louise Klingenberg, Denmark</w:t>
            </w:r>
          </w:p>
          <w:p w14:paraId="0CB361FD" w14:textId="77777777" w:rsidR="00003F8E" w:rsidRPr="000B528C" w:rsidRDefault="00003F8E" w:rsidP="000B528C">
            <w:pPr>
              <w:pStyle w:val="NormalWeb"/>
              <w:rPr>
                <w:rFonts w:ascii="Arial" w:hAnsi="Arial" w:cs="Arial"/>
                <w:color w:val="000000"/>
              </w:rPr>
            </w:pPr>
            <w:r w:rsidRPr="000B528C">
              <w:rPr>
                <w:rFonts w:ascii="Arial" w:hAnsi="Arial" w:cs="Arial"/>
                <w:color w:val="000000"/>
              </w:rPr>
              <w:t>Peer</w:t>
            </w:r>
            <w:r w:rsidRPr="000B528C">
              <w:rPr>
                <w:rFonts w:ascii="Cambria Math" w:hAnsi="Cambria Math" w:cs="Cambria Math"/>
                <w:color w:val="000000"/>
              </w:rPr>
              <w:t>‐</w:t>
            </w:r>
            <w:r w:rsidRPr="000B528C">
              <w:rPr>
                <w:rFonts w:ascii="Arial" w:hAnsi="Arial" w:cs="Arial"/>
                <w:color w:val="000000"/>
              </w:rPr>
              <w:t>reviewers (provided clinical and content review comments): Enrico Corazziari, Italy</w:t>
            </w:r>
          </w:p>
          <w:p w14:paraId="58C2EF97"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Peer reviewer of Trial Sequential Analysis (TSA): Mark Aninakwah Asante, Denmark</w:t>
            </w:r>
          </w:p>
          <w:p w14:paraId="496E550A"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Associate Editor (protocol screening): Leslie Choi, Evidence Production and Methods Department, Cochrane, UK</w:t>
            </w:r>
          </w:p>
          <w:p w14:paraId="28C12AAA" w14:textId="67E9E1D1"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Copy Editor (copy editing and production): Anne Lawson, Cochrane Central Production Service</w:t>
            </w:r>
            <w:r w:rsidR="00314150">
              <w:rPr>
                <w:rFonts w:ascii="Arial" w:hAnsi="Arial" w:cs="Arial"/>
                <w:color w:val="000000"/>
              </w:rPr>
              <w:t>.</w:t>
            </w:r>
          </w:p>
          <w:p w14:paraId="5D37246A" w14:textId="77777777" w:rsidR="002B2A76" w:rsidRPr="00FA7AF4" w:rsidRDefault="002B2A76" w:rsidP="008E6F6F">
            <w:pPr>
              <w:pStyle w:val="NormalWeb"/>
              <w:shd w:val="clear" w:color="auto" w:fill="FFFFFF"/>
              <w:spacing w:before="0" w:beforeAutospacing="0" w:after="150" w:afterAutospacing="0"/>
              <w:rPr>
                <w:rFonts w:ascii="Arial" w:hAnsi="Arial" w:cs="Arial"/>
                <w:color w:val="000000"/>
              </w:rPr>
            </w:pPr>
          </w:p>
        </w:tc>
      </w:tr>
      <w:tr w:rsidR="00DA5080" w:rsidRPr="00471A9B" w14:paraId="49FB8E4E" w14:textId="77777777" w:rsidTr="004915C4">
        <w:tc>
          <w:tcPr>
            <w:tcW w:w="835" w:type="dxa"/>
          </w:tcPr>
          <w:p w14:paraId="0C4F6F49" w14:textId="68C1A253" w:rsidR="00DA5080" w:rsidRDefault="00DA5080" w:rsidP="00F26ED8">
            <w:pPr>
              <w:pStyle w:val="NormalWeb"/>
              <w:rPr>
                <w:rFonts w:ascii="Arial" w:hAnsi="Arial" w:cs="Arial"/>
                <w:color w:val="000000"/>
              </w:rPr>
            </w:pPr>
            <w:r>
              <w:rPr>
                <w:rFonts w:ascii="Arial" w:hAnsi="Arial" w:cs="Arial"/>
                <w:color w:val="000000"/>
              </w:rPr>
              <w:lastRenderedPageBreak/>
              <w:t>7.</w:t>
            </w:r>
          </w:p>
        </w:tc>
        <w:tc>
          <w:tcPr>
            <w:tcW w:w="4100" w:type="dxa"/>
          </w:tcPr>
          <w:p w14:paraId="5E6D0E26" w14:textId="03AD46E1" w:rsidR="00DA5080" w:rsidRPr="002B2A76" w:rsidRDefault="00DA5080" w:rsidP="00F26ED8">
            <w:pPr>
              <w:pStyle w:val="NormalWeb"/>
              <w:rPr>
                <w:rFonts w:ascii="Arial" w:hAnsi="Arial" w:cs="Arial"/>
                <w:color w:val="000000"/>
              </w:rPr>
            </w:pPr>
            <w:r w:rsidRPr="00DA5080">
              <w:rPr>
                <w:rFonts w:ascii="Arial" w:hAnsi="Arial" w:cs="Arial"/>
                <w:color w:val="000000"/>
              </w:rPr>
              <w:t>Storman D, Swierz MJ, Mitus JW, Pedziwiatr M, Liang N, Wolff R, Bala MM. Microwave coagulation for liver metastases. Cochrane Database of Systematic Reviews 2024, Issue 3. Art. No.: CD010163. DOI: 10.1002/14651858.CD010163.pub3.</w:t>
            </w:r>
          </w:p>
        </w:tc>
        <w:tc>
          <w:tcPr>
            <w:tcW w:w="4179" w:type="dxa"/>
          </w:tcPr>
          <w:p w14:paraId="0C10630B" w14:textId="77777777" w:rsidR="00DA5080" w:rsidRPr="00DA5080" w:rsidRDefault="00DA5080" w:rsidP="00DA5080">
            <w:pPr>
              <w:pStyle w:val="NormalWeb"/>
              <w:shd w:val="clear" w:color="auto" w:fill="FFFFFF"/>
              <w:spacing w:before="0" w:beforeAutospacing="0" w:after="150" w:afterAutospacing="0"/>
              <w:rPr>
                <w:rFonts w:ascii="Arial" w:hAnsi="Arial" w:cs="Arial"/>
                <w:color w:val="000000"/>
              </w:rPr>
            </w:pPr>
            <w:r w:rsidRPr="00DA5080">
              <w:rPr>
                <w:rFonts w:ascii="Arial" w:hAnsi="Arial" w:cs="Arial"/>
                <w:color w:val="000000"/>
              </w:rPr>
              <w:t>The following people from the Editorial Team office of the Hepato</w:t>
            </w:r>
            <w:r w:rsidRPr="00DA5080">
              <w:rPr>
                <w:rFonts w:ascii="Cambria Math" w:hAnsi="Cambria Math" w:cs="Cambria Math"/>
                <w:color w:val="000000"/>
              </w:rPr>
              <w:t>‐</w:t>
            </w:r>
            <w:r w:rsidRPr="00DA5080">
              <w:rPr>
                <w:rFonts w:ascii="Arial" w:hAnsi="Arial" w:cs="Arial"/>
                <w:color w:val="000000"/>
              </w:rPr>
              <w:t>Biliary Group conducted the editorial process for this article.</w:t>
            </w:r>
          </w:p>
          <w:p w14:paraId="6BB45A6F" w14:textId="00BEA022"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w:t>
            </w:r>
            <w:r w:rsidRPr="00DA5080">
              <w:rPr>
                <w:rFonts w:ascii="Cambria Math" w:hAnsi="Cambria Math" w:cs="Cambria Math"/>
                <w:color w:val="000000"/>
              </w:rPr>
              <w:t>‐</w:t>
            </w:r>
            <w:r w:rsidRPr="00DA5080">
              <w:rPr>
                <w:rFonts w:ascii="Arial" w:hAnsi="Arial" w:cs="Arial"/>
                <w:color w:val="000000"/>
              </w:rPr>
              <w:t>ordinating Editor</w:t>
            </w:r>
            <w:r>
              <w:rPr>
                <w:rFonts w:ascii="Arial" w:hAnsi="Arial" w:cs="Arial"/>
                <w:color w:val="000000"/>
              </w:rPr>
              <w:t xml:space="preserve"> </w:t>
            </w:r>
            <w:r w:rsidRPr="00DA5080">
              <w:rPr>
                <w:rFonts w:ascii="Arial" w:hAnsi="Arial" w:cs="Arial"/>
                <w:color w:val="000000"/>
              </w:rPr>
              <w:t xml:space="preserve">(provided comments, </w:t>
            </w:r>
            <w:r w:rsidRPr="00DA5080">
              <w:rPr>
                <w:rFonts w:ascii="Arial" w:hAnsi="Arial" w:cs="Arial"/>
                <w:color w:val="000000"/>
              </w:rPr>
              <w:t>checked</w:t>
            </w:r>
            <w:r w:rsidRPr="00DA5080">
              <w:rPr>
                <w:rFonts w:ascii="Arial" w:hAnsi="Arial" w:cs="Arial"/>
                <w:color w:val="000000"/>
              </w:rPr>
              <w:t xml:space="preserve"> and revised the review, and accepted it for publication): Christian Gluud, Denmark</w:t>
            </w:r>
          </w:p>
          <w:p w14:paraId="00FE526F"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Contact Editor (provided comments on the review): Kurinchi Gurusamy, UK</w:t>
            </w:r>
          </w:p>
          <w:p w14:paraId="37AD1469"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lastRenderedPageBreak/>
              <w:t>Managing Editor (selected peer reviewers, provided comments, provided editorial guidance to authors, edited the article): Dimitrinka Nikolova, Hepato</w:t>
            </w:r>
            <w:r w:rsidRPr="00DA5080">
              <w:rPr>
                <w:rFonts w:ascii="Cambria Math" w:hAnsi="Cambria Math" w:cs="Cambria Math"/>
                <w:color w:val="000000"/>
              </w:rPr>
              <w:t>‐</w:t>
            </w:r>
            <w:r w:rsidRPr="00DA5080">
              <w:rPr>
                <w:rFonts w:ascii="Arial" w:hAnsi="Arial" w:cs="Arial"/>
                <w:color w:val="000000"/>
              </w:rPr>
              <w:t>Biliary Group, Denmark</w:t>
            </w:r>
          </w:p>
          <w:p w14:paraId="05F4E0CF"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Information Specialist (developed search strategies and performed searches): Sarah Louise Klingenberg, Hepato</w:t>
            </w:r>
            <w:r w:rsidRPr="00DA5080">
              <w:rPr>
                <w:rFonts w:ascii="Cambria Math" w:hAnsi="Cambria Math" w:cs="Cambria Math"/>
                <w:color w:val="000000"/>
              </w:rPr>
              <w:t>‐</w:t>
            </w:r>
            <w:r w:rsidRPr="00DA5080">
              <w:rPr>
                <w:rFonts w:ascii="Arial" w:hAnsi="Arial" w:cs="Arial"/>
                <w:color w:val="000000"/>
              </w:rPr>
              <w:t>Biliary Group, Denmark</w:t>
            </w:r>
          </w:p>
          <w:p w14:paraId="1E6109EB"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Peer reviewers: (provided expert comments): Sameer Junnarkar, Singapore; Paola Andrenacci, Argentina; (comments on the plain language summary): Paola Andrenacci, Argentina</w:t>
            </w:r>
          </w:p>
          <w:p w14:paraId="0BC63000" w14:textId="77777777" w:rsidR="00DA5080" w:rsidRPr="00DA5080" w:rsidRDefault="00DA5080" w:rsidP="00DA5080">
            <w:pPr>
              <w:pStyle w:val="NormalWeb"/>
              <w:shd w:val="clear" w:color="auto" w:fill="FFFFFF"/>
              <w:spacing w:before="0" w:beforeAutospacing="0" w:after="150" w:afterAutospacing="0"/>
              <w:rPr>
                <w:rFonts w:ascii="Arial" w:hAnsi="Arial" w:cs="Arial"/>
                <w:color w:val="000000"/>
              </w:rPr>
            </w:pPr>
            <w:r w:rsidRPr="00DA5080">
              <w:rPr>
                <w:rFonts w:ascii="Arial" w:hAnsi="Arial" w:cs="Arial"/>
                <w:color w:val="000000"/>
              </w:rPr>
              <w:t>The following people from the Cochrane Central Editorial Service supported the production of this review.</w:t>
            </w:r>
          </w:p>
          <w:p w14:paraId="4D2C293F" w14:textId="77777777" w:rsidR="00DA5080" w:rsidRPr="00DA5080" w:rsidRDefault="00DA5080" w:rsidP="00DA5080">
            <w:pPr>
              <w:pStyle w:val="NormalWeb"/>
              <w:numPr>
                <w:ilvl w:val="0"/>
                <w:numId w:val="16"/>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Evidence Synthesis Development Editor: Leslie Choi, Evidence Production and Methods Department, Cochrane, UK</w:t>
            </w:r>
          </w:p>
          <w:p w14:paraId="32372709" w14:textId="77777777" w:rsidR="00DA5080" w:rsidRPr="00DA5080" w:rsidRDefault="00DA5080" w:rsidP="00DA5080">
            <w:pPr>
              <w:pStyle w:val="NormalWeb"/>
              <w:numPr>
                <w:ilvl w:val="0"/>
                <w:numId w:val="16"/>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Copy Editor (copy</w:t>
            </w:r>
            <w:r w:rsidRPr="00DA5080">
              <w:rPr>
                <w:rFonts w:ascii="Cambria Math" w:hAnsi="Cambria Math" w:cs="Cambria Math"/>
                <w:color w:val="000000"/>
              </w:rPr>
              <w:t>‐</w:t>
            </w:r>
            <w:r w:rsidRPr="00DA5080">
              <w:rPr>
                <w:rFonts w:ascii="Arial" w:hAnsi="Arial" w:cs="Arial"/>
                <w:color w:val="000000"/>
              </w:rPr>
              <w:t>editing and production): Anne Lawson, Cochrane Central Production Service</w:t>
            </w:r>
          </w:p>
          <w:p w14:paraId="18C49E59" w14:textId="77777777" w:rsidR="00DA5080" w:rsidRPr="00471A9B" w:rsidRDefault="00DA5080" w:rsidP="002810F4">
            <w:pPr>
              <w:pStyle w:val="NormalWeb"/>
              <w:shd w:val="clear" w:color="auto" w:fill="FFFFFF"/>
              <w:spacing w:before="0" w:beforeAutospacing="0" w:after="150" w:afterAutospacing="0"/>
              <w:rPr>
                <w:rFonts w:ascii="Arial" w:hAnsi="Arial" w:cs="Arial"/>
                <w:color w:val="000000"/>
              </w:rPr>
            </w:pPr>
          </w:p>
        </w:tc>
      </w:tr>
    </w:tbl>
    <w:p w14:paraId="52D45958" w14:textId="77777777" w:rsidR="004915C4" w:rsidRDefault="004915C4" w:rsidP="00F26ED8">
      <w:pPr>
        <w:pStyle w:val="NormalWeb"/>
        <w:rPr>
          <w:rFonts w:ascii="Arial" w:hAnsi="Arial" w:cs="Arial"/>
          <w:b/>
          <w:bCs/>
          <w:color w:val="000000"/>
        </w:rPr>
      </w:pPr>
    </w:p>
    <w:p w14:paraId="66EA756B" w14:textId="77777777" w:rsidR="00C12349" w:rsidRDefault="00C12349" w:rsidP="00F26ED8">
      <w:pPr>
        <w:pStyle w:val="NormalWeb"/>
        <w:rPr>
          <w:rFonts w:ascii="Arial" w:hAnsi="Arial" w:cs="Arial"/>
          <w:b/>
          <w:bCs/>
          <w:color w:val="000000"/>
        </w:rPr>
      </w:pPr>
    </w:p>
    <w:p w14:paraId="2A1E95AB" w14:textId="77777777" w:rsidR="00DA5080" w:rsidRDefault="00DA5080">
      <w:pPr>
        <w:rPr>
          <w:rFonts w:ascii="Arial" w:eastAsia="Times New Roman" w:hAnsi="Arial" w:cs="Arial"/>
          <w:b/>
          <w:bCs/>
          <w:color w:val="000000"/>
          <w:sz w:val="24"/>
          <w:szCs w:val="24"/>
          <w:lang w:eastAsia="en-DK"/>
        </w:rPr>
      </w:pPr>
      <w:r>
        <w:rPr>
          <w:rFonts w:ascii="Arial" w:hAnsi="Arial" w:cs="Arial"/>
          <w:b/>
          <w:bCs/>
          <w:color w:val="000000"/>
        </w:rPr>
        <w:br w:type="page"/>
      </w:r>
    </w:p>
    <w:p w14:paraId="2EC3C381" w14:textId="41F68A25" w:rsidR="004915C4" w:rsidRDefault="004915C4" w:rsidP="00F26ED8">
      <w:pPr>
        <w:pStyle w:val="NormalWeb"/>
        <w:rPr>
          <w:rFonts w:ascii="Arial" w:hAnsi="Arial" w:cs="Arial"/>
          <w:b/>
          <w:bCs/>
          <w:color w:val="000000"/>
        </w:rPr>
      </w:pPr>
      <w:r>
        <w:rPr>
          <w:rFonts w:ascii="Arial" w:hAnsi="Arial" w:cs="Arial"/>
          <w:b/>
          <w:bCs/>
          <w:color w:val="000000"/>
        </w:rPr>
        <w:lastRenderedPageBreak/>
        <w:t>Protocols</w:t>
      </w:r>
    </w:p>
    <w:tbl>
      <w:tblPr>
        <w:tblStyle w:val="TableGrid"/>
        <w:tblW w:w="0" w:type="auto"/>
        <w:tblInd w:w="-284" w:type="dxa"/>
        <w:tblLook w:val="04A0" w:firstRow="1" w:lastRow="0" w:firstColumn="1" w:lastColumn="0" w:noHBand="0" w:noVBand="1"/>
      </w:tblPr>
      <w:tblGrid>
        <w:gridCol w:w="846"/>
        <w:gridCol w:w="4111"/>
        <w:gridCol w:w="4343"/>
      </w:tblGrid>
      <w:tr w:rsidR="004915C4" w14:paraId="44309D2D" w14:textId="77777777" w:rsidTr="004915C4">
        <w:tc>
          <w:tcPr>
            <w:tcW w:w="846" w:type="dxa"/>
          </w:tcPr>
          <w:p w14:paraId="41C93B6C" w14:textId="7C2646AB" w:rsidR="004915C4" w:rsidRPr="004915C4" w:rsidRDefault="004915C4"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4915C4">
              <w:rPr>
                <w:rFonts w:ascii="Arial" w:hAnsi="Arial" w:cs="Arial"/>
                <w:color w:val="000000"/>
              </w:rPr>
              <w:t>1.</w:t>
            </w:r>
          </w:p>
        </w:tc>
        <w:tc>
          <w:tcPr>
            <w:tcW w:w="4111" w:type="dxa"/>
          </w:tcPr>
          <w:p w14:paraId="0A214813" w14:textId="77777777" w:rsidR="004915C4" w:rsidRPr="00471A9B" w:rsidRDefault="004915C4"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471A9B">
              <w:rPr>
                <w:rFonts w:ascii="Arial" w:hAnsi="Arial" w:cs="Arial"/>
                <w:color w:val="000000"/>
              </w:rPr>
              <w:t>Kollbeck S, Tschuor C, Hillingsø JG, Penninga L. Robot</w:t>
            </w:r>
            <w:r w:rsidRPr="004915C4">
              <w:rPr>
                <w:rFonts w:ascii="Cambria Math" w:hAnsi="Cambria Math" w:cs="Cambria Math"/>
                <w:color w:val="000000"/>
              </w:rPr>
              <w:t>‐</w:t>
            </w:r>
            <w:r w:rsidRPr="00471A9B">
              <w:rPr>
                <w:rFonts w:ascii="Arial" w:hAnsi="Arial" w:cs="Arial"/>
                <w:color w:val="000000"/>
              </w:rPr>
              <w:t xml:space="preserve">assisted surgery for benign and malignant liver lesions. Cochrane Database of Systematic Reviews 2024, Issue 2. Art. No.: CD015100. DOI: 10.1002/14651858.CD015100. </w:t>
            </w:r>
          </w:p>
          <w:p w14:paraId="5FF9675D" w14:textId="77777777" w:rsidR="004915C4" w:rsidRPr="004915C4" w:rsidRDefault="004915C4" w:rsidP="004915C4">
            <w:pPr>
              <w:pStyle w:val="NormalWeb"/>
              <w:rPr>
                <w:rFonts w:ascii="Arial" w:hAnsi="Arial" w:cs="Arial"/>
                <w:color w:val="000000"/>
              </w:rPr>
            </w:pPr>
          </w:p>
        </w:tc>
        <w:tc>
          <w:tcPr>
            <w:tcW w:w="4343" w:type="dxa"/>
          </w:tcPr>
          <w:p w14:paraId="0144A303" w14:textId="77777777" w:rsidR="004915C4" w:rsidRPr="00471A9B" w:rsidRDefault="004915C4" w:rsidP="004915C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412E6848" w14:textId="77777777" w:rsidR="004915C4" w:rsidRPr="00471A9B" w:rsidRDefault="004915C4" w:rsidP="004915C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2C6362DB"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Sign</w:t>
            </w:r>
            <w:r w:rsidRPr="004915C4">
              <w:rPr>
                <w:rFonts w:ascii="Cambria Math" w:hAnsi="Cambria Math" w:cs="Cambria Math"/>
                <w:color w:val="000000"/>
              </w:rPr>
              <w:t>‐</w:t>
            </w:r>
            <w:r w:rsidRPr="00471A9B">
              <w:rPr>
                <w:rFonts w:ascii="Arial" w:hAnsi="Arial" w:cs="Arial"/>
                <w:color w:val="000000"/>
              </w:rPr>
              <w:t>off Editor (final editorial decision): Brian Davidson, CHBG Editor, UK</w:t>
            </w:r>
          </w:p>
          <w:p w14:paraId="7BD4428C"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Contact Editor (provided editorial decision): Brian Davidson, CHBG Editor, UK</w:t>
            </w:r>
          </w:p>
          <w:p w14:paraId="1909F0A5"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Statistical Editor: Giovanni Casazza, Italy</w:t>
            </w:r>
          </w:p>
          <w:p w14:paraId="2D61A01E"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Managing Editor (selected peer reviewers, provided editorial guidance to authors, edited the article): Dimitrinka Nikolova, Denmark</w:t>
            </w:r>
          </w:p>
          <w:p w14:paraId="15485EE4"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Information Specialist (database searches): Sarah Louise Klingenberg, Denmark</w:t>
            </w:r>
          </w:p>
          <w:p w14:paraId="146D08F4"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Peer reviewers (provided clinical and content review comments): Martin Brand, South Africa; Kurinchi Selvan Gurusamy, UK; (provided comments on the Trial Sequential Analysis): Mark Aninakwah Asante, Denmark</w:t>
            </w:r>
          </w:p>
          <w:p w14:paraId="35FD2DFE"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4CDA2956"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Copy Editor (copy editing and production): Victoria Pennick, Cochrane Central Production Service</w:t>
            </w:r>
          </w:p>
          <w:p w14:paraId="7DFF3F69" w14:textId="77777777" w:rsidR="004915C4" w:rsidRPr="004915C4" w:rsidRDefault="004915C4" w:rsidP="004915C4">
            <w:pPr>
              <w:pStyle w:val="NormalWeb"/>
              <w:rPr>
                <w:rFonts w:ascii="Arial" w:hAnsi="Arial" w:cs="Arial"/>
                <w:color w:val="000000"/>
              </w:rPr>
            </w:pPr>
          </w:p>
        </w:tc>
      </w:tr>
    </w:tbl>
    <w:p w14:paraId="1DF74AE5" w14:textId="77777777" w:rsidR="007C65C6" w:rsidRDefault="007C65C6" w:rsidP="00F26ED8">
      <w:pPr>
        <w:pStyle w:val="NormalWeb"/>
        <w:rPr>
          <w:rFonts w:ascii="Arial" w:hAnsi="Arial" w:cs="Arial"/>
          <w:b/>
          <w:bCs/>
          <w:color w:val="000000"/>
        </w:rPr>
      </w:pPr>
    </w:p>
    <w:p w14:paraId="4780BE8E" w14:textId="77777777" w:rsidR="007C65C6" w:rsidRDefault="007C65C6" w:rsidP="00F26ED8">
      <w:pPr>
        <w:pStyle w:val="NormalWeb"/>
        <w:rPr>
          <w:rFonts w:ascii="Arial" w:hAnsi="Arial" w:cs="Arial"/>
          <w:b/>
          <w:bCs/>
          <w:color w:val="000000"/>
        </w:rPr>
      </w:pPr>
    </w:p>
    <w:p w14:paraId="6CB8D497" w14:textId="3300F9ED" w:rsidR="00F26ED8" w:rsidRPr="00E272D2" w:rsidRDefault="00E60749" w:rsidP="00F26ED8">
      <w:pPr>
        <w:pStyle w:val="NormalWeb"/>
        <w:rPr>
          <w:rFonts w:ascii="Arial" w:hAnsi="Arial" w:cs="Arial"/>
          <w:b/>
          <w:bCs/>
          <w:color w:val="000000"/>
        </w:rPr>
      </w:pPr>
      <w:r>
        <w:rPr>
          <w:rFonts w:ascii="Arial" w:hAnsi="Arial" w:cs="Arial"/>
          <w:b/>
          <w:bCs/>
          <w:color w:val="000000"/>
        </w:rPr>
        <w:lastRenderedPageBreak/>
        <w:t xml:space="preserve">II. </w:t>
      </w:r>
      <w:r w:rsidR="00E272D2" w:rsidRPr="00E272D2">
        <w:rPr>
          <w:rFonts w:ascii="Arial" w:hAnsi="Arial" w:cs="Arial"/>
          <w:b/>
          <w:bCs/>
          <w:color w:val="000000"/>
        </w:rPr>
        <w:t>Registered titles</w:t>
      </w:r>
    </w:p>
    <w:p w14:paraId="79075CF4" w14:textId="3171EC2A" w:rsidR="00892E27" w:rsidRPr="00E272D2" w:rsidRDefault="00E272D2" w:rsidP="00E272D2">
      <w:pPr>
        <w:pStyle w:val="ListParagraph"/>
        <w:numPr>
          <w:ilvl w:val="0"/>
          <w:numId w:val="7"/>
        </w:numPr>
        <w:ind w:left="142" w:hanging="284"/>
        <w:rPr>
          <w:rFonts w:ascii="Arial" w:eastAsia="Times New Roman" w:hAnsi="Arial" w:cs="Arial"/>
          <w:color w:val="000000"/>
          <w:sz w:val="24"/>
          <w:szCs w:val="24"/>
          <w:lang w:eastAsia="en-DK"/>
        </w:rPr>
      </w:pPr>
      <w:r w:rsidRPr="00E272D2">
        <w:rPr>
          <w:rFonts w:ascii="Arial" w:eastAsia="Times New Roman" w:hAnsi="Arial" w:cs="Arial"/>
          <w:color w:val="000000"/>
          <w:sz w:val="24"/>
          <w:szCs w:val="24"/>
          <w:lang w:eastAsia="en-DK"/>
        </w:rPr>
        <w:t>Gemcitabine-based chemotherapy for advanced biliary tract carcinomas. Title registered 15 February 2024.</w:t>
      </w:r>
      <w:r w:rsidR="00B21112" w:rsidRPr="00E60749">
        <w:rPr>
          <w:rFonts w:ascii="Arial" w:eastAsia="Times New Roman" w:hAnsi="Arial" w:cs="Arial"/>
          <w:color w:val="000000"/>
          <w:sz w:val="24"/>
          <w:szCs w:val="24"/>
          <w:lang w:eastAsia="en-DK"/>
        </w:rPr>
        <w:t xml:space="preserve"> [Awedew AF, Fentahun Emrie A, Jegnie M. Gemcitabine-based chemotherapy for advanced biliary tract carcinomas. Cochrane Database of Systematic Reviews, . Art. No.: CD016126.]</w:t>
      </w:r>
    </w:p>
    <w:sectPr w:rsidR="00892E27" w:rsidRPr="00E272D2" w:rsidSect="007B528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E9350" w14:textId="77777777" w:rsidR="007B5287" w:rsidRDefault="007B5287" w:rsidP="00393A8C">
      <w:pPr>
        <w:spacing w:after="0" w:line="240" w:lineRule="auto"/>
      </w:pPr>
      <w:r>
        <w:separator/>
      </w:r>
    </w:p>
  </w:endnote>
  <w:endnote w:type="continuationSeparator" w:id="0">
    <w:p w14:paraId="4DDD4DFC" w14:textId="77777777" w:rsidR="007B5287" w:rsidRDefault="007B5287" w:rsidP="0039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5CE15" w14:textId="77777777" w:rsidR="00084E6A" w:rsidRDefault="0008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BD61" w14:textId="6EC8527C" w:rsidR="00393A8C" w:rsidRDefault="00152DAA">
    <w:pPr>
      <w:pStyle w:val="Footer"/>
      <w:rPr>
        <w:lang w:val="en-US"/>
      </w:rPr>
    </w:pPr>
    <w:r>
      <w:rPr>
        <w:lang w:val="en-US"/>
      </w:rPr>
      <w:t xml:space="preserve">CHBG publications as of </w:t>
    </w:r>
    <w:r w:rsidR="009E4854">
      <w:rPr>
        <w:lang w:val="en-US"/>
      </w:rPr>
      <w:t>2</w:t>
    </w:r>
    <w:r w:rsidR="00084E6A">
      <w:rPr>
        <w:lang w:val="en-US"/>
      </w:rPr>
      <w:t>7</w:t>
    </w:r>
    <w:r>
      <w:rPr>
        <w:lang w:val="en-US"/>
      </w:rPr>
      <w:t>.0</w:t>
    </w:r>
    <w:r w:rsidR="004915C4">
      <w:rPr>
        <w:lang w:val="en-US"/>
      </w:rPr>
      <w:t>3</w:t>
    </w:r>
    <w:r>
      <w:rPr>
        <w:lang w:val="en-US"/>
      </w:rPr>
      <w:t>.2024</w:t>
    </w:r>
    <w:r>
      <w:rPr>
        <w:lang w:val="en-US"/>
      </w:rPr>
      <w:tab/>
    </w:r>
    <w:r>
      <w:rPr>
        <w:lang w:val="en-US"/>
      </w:rPr>
      <w:tab/>
    </w:r>
  </w:p>
  <w:p w14:paraId="2FE2C7DE" w14:textId="3423C48D" w:rsidR="00334D86" w:rsidRDefault="00A46F4F" w:rsidP="00334D86">
    <w:pPr>
      <w:pStyle w:val="Footer"/>
      <w:rPr>
        <w:lang w:val="en-US"/>
      </w:rPr>
    </w:pPr>
    <w:r>
      <w:rPr>
        <w:lang w:val="en-US"/>
      </w:rPr>
      <w:t xml:space="preserve">Prepared: </w:t>
    </w:r>
    <w:r w:rsidR="009E4854">
      <w:rPr>
        <w:lang w:val="en-US"/>
      </w:rPr>
      <w:t>2</w:t>
    </w:r>
    <w:r w:rsidR="00084E6A">
      <w:rPr>
        <w:lang w:val="en-US"/>
      </w:rPr>
      <w:t>7</w:t>
    </w:r>
    <w:r w:rsidR="00334D86">
      <w:rPr>
        <w:lang w:val="en-US"/>
      </w:rPr>
      <w:t>.0</w:t>
    </w:r>
    <w:r w:rsidR="004915C4">
      <w:rPr>
        <w:lang w:val="en-US"/>
      </w:rPr>
      <w:t>3</w:t>
    </w:r>
    <w:r w:rsidR="00334D86">
      <w:rPr>
        <w:lang w:val="en-US"/>
      </w:rPr>
      <w:t>.202</w:t>
    </w:r>
    <w:r w:rsidR="0075735B">
      <w:rPr>
        <w:lang w:val="en-US"/>
      </w:rPr>
      <w:t>4</w:t>
    </w:r>
  </w:p>
  <w:p w14:paraId="2A1A69CA" w14:textId="77777777" w:rsidR="00334D86" w:rsidRPr="004304C7" w:rsidRDefault="00334D86" w:rsidP="00334D86">
    <w:pPr>
      <w:pStyle w:val="Footer"/>
      <w:rPr>
        <w:lang w:val="en-US"/>
      </w:rPr>
    </w:pPr>
    <w:r>
      <w:rPr>
        <w:lang w:val="en-US"/>
      </w:rPr>
      <w:t>CHBG Managing Editor: Dimitrinka Nikolova</w:t>
    </w:r>
  </w:p>
  <w:p w14:paraId="7AB94040" w14:textId="77777777" w:rsidR="00334D86" w:rsidRPr="00334D86" w:rsidRDefault="00334D86">
    <w:pPr>
      <w:pStyle w:val="Footer"/>
      <w:rPr>
        <w:lang w:val="en-US"/>
      </w:rPr>
    </w:pPr>
  </w:p>
  <w:p w14:paraId="6B593E6A" w14:textId="77777777" w:rsidR="00393A8C" w:rsidRDefault="00393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491F" w14:textId="77777777" w:rsidR="00084E6A" w:rsidRDefault="0008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B09E3" w14:textId="77777777" w:rsidR="007B5287" w:rsidRDefault="007B5287" w:rsidP="00393A8C">
      <w:pPr>
        <w:spacing w:after="0" w:line="240" w:lineRule="auto"/>
      </w:pPr>
      <w:r>
        <w:separator/>
      </w:r>
    </w:p>
  </w:footnote>
  <w:footnote w:type="continuationSeparator" w:id="0">
    <w:p w14:paraId="3DE64166" w14:textId="77777777" w:rsidR="007B5287" w:rsidRDefault="007B5287" w:rsidP="0039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CA5D5" w14:textId="77777777" w:rsidR="00084E6A" w:rsidRDefault="0008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37935" w14:textId="77777777" w:rsidR="00084E6A" w:rsidRDefault="00084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6441A" w14:textId="77777777" w:rsidR="00084E6A" w:rsidRDefault="00084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3DB"/>
    <w:multiLevelType w:val="multilevel"/>
    <w:tmpl w:val="5F8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4B8B"/>
    <w:multiLevelType w:val="multilevel"/>
    <w:tmpl w:val="93BC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1600E"/>
    <w:multiLevelType w:val="hybridMultilevel"/>
    <w:tmpl w:val="72C2E084"/>
    <w:lvl w:ilvl="0" w:tplc="20000001">
      <w:start w:val="1"/>
      <w:numFmt w:val="bullet"/>
      <w:lvlText w:val=""/>
      <w:lvlJc w:val="left"/>
      <w:pPr>
        <w:ind w:left="779" w:hanging="360"/>
      </w:pPr>
      <w:rPr>
        <w:rFonts w:ascii="Symbol" w:hAnsi="Symbol" w:hint="default"/>
      </w:rPr>
    </w:lvl>
    <w:lvl w:ilvl="1" w:tplc="20000003" w:tentative="1">
      <w:start w:val="1"/>
      <w:numFmt w:val="bullet"/>
      <w:lvlText w:val="o"/>
      <w:lvlJc w:val="left"/>
      <w:pPr>
        <w:ind w:left="1499" w:hanging="360"/>
      </w:pPr>
      <w:rPr>
        <w:rFonts w:ascii="Courier New" w:hAnsi="Courier New" w:cs="Courier New" w:hint="default"/>
      </w:rPr>
    </w:lvl>
    <w:lvl w:ilvl="2" w:tplc="20000005" w:tentative="1">
      <w:start w:val="1"/>
      <w:numFmt w:val="bullet"/>
      <w:lvlText w:val=""/>
      <w:lvlJc w:val="left"/>
      <w:pPr>
        <w:ind w:left="2219" w:hanging="360"/>
      </w:pPr>
      <w:rPr>
        <w:rFonts w:ascii="Wingdings" w:hAnsi="Wingdings" w:hint="default"/>
      </w:rPr>
    </w:lvl>
    <w:lvl w:ilvl="3" w:tplc="20000001" w:tentative="1">
      <w:start w:val="1"/>
      <w:numFmt w:val="bullet"/>
      <w:lvlText w:val=""/>
      <w:lvlJc w:val="left"/>
      <w:pPr>
        <w:ind w:left="2939" w:hanging="360"/>
      </w:pPr>
      <w:rPr>
        <w:rFonts w:ascii="Symbol" w:hAnsi="Symbol" w:hint="default"/>
      </w:rPr>
    </w:lvl>
    <w:lvl w:ilvl="4" w:tplc="20000003" w:tentative="1">
      <w:start w:val="1"/>
      <w:numFmt w:val="bullet"/>
      <w:lvlText w:val="o"/>
      <w:lvlJc w:val="left"/>
      <w:pPr>
        <w:ind w:left="3659" w:hanging="360"/>
      </w:pPr>
      <w:rPr>
        <w:rFonts w:ascii="Courier New" w:hAnsi="Courier New" w:cs="Courier New" w:hint="default"/>
      </w:rPr>
    </w:lvl>
    <w:lvl w:ilvl="5" w:tplc="20000005" w:tentative="1">
      <w:start w:val="1"/>
      <w:numFmt w:val="bullet"/>
      <w:lvlText w:val=""/>
      <w:lvlJc w:val="left"/>
      <w:pPr>
        <w:ind w:left="4379" w:hanging="360"/>
      </w:pPr>
      <w:rPr>
        <w:rFonts w:ascii="Wingdings" w:hAnsi="Wingdings" w:hint="default"/>
      </w:rPr>
    </w:lvl>
    <w:lvl w:ilvl="6" w:tplc="20000001" w:tentative="1">
      <w:start w:val="1"/>
      <w:numFmt w:val="bullet"/>
      <w:lvlText w:val=""/>
      <w:lvlJc w:val="left"/>
      <w:pPr>
        <w:ind w:left="5099" w:hanging="360"/>
      </w:pPr>
      <w:rPr>
        <w:rFonts w:ascii="Symbol" w:hAnsi="Symbol" w:hint="default"/>
      </w:rPr>
    </w:lvl>
    <w:lvl w:ilvl="7" w:tplc="20000003" w:tentative="1">
      <w:start w:val="1"/>
      <w:numFmt w:val="bullet"/>
      <w:lvlText w:val="o"/>
      <w:lvlJc w:val="left"/>
      <w:pPr>
        <w:ind w:left="5819" w:hanging="360"/>
      </w:pPr>
      <w:rPr>
        <w:rFonts w:ascii="Courier New" w:hAnsi="Courier New" w:cs="Courier New" w:hint="default"/>
      </w:rPr>
    </w:lvl>
    <w:lvl w:ilvl="8" w:tplc="20000005" w:tentative="1">
      <w:start w:val="1"/>
      <w:numFmt w:val="bullet"/>
      <w:lvlText w:val=""/>
      <w:lvlJc w:val="left"/>
      <w:pPr>
        <w:ind w:left="6539" w:hanging="360"/>
      </w:pPr>
      <w:rPr>
        <w:rFonts w:ascii="Wingdings" w:hAnsi="Wingdings" w:hint="default"/>
      </w:rPr>
    </w:lvl>
  </w:abstractNum>
  <w:abstractNum w:abstractNumId="3" w15:restartNumberingAfterBreak="0">
    <w:nsid w:val="24A33C91"/>
    <w:multiLevelType w:val="hybridMultilevel"/>
    <w:tmpl w:val="7C122B0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 w15:restartNumberingAfterBreak="0">
    <w:nsid w:val="255903F9"/>
    <w:multiLevelType w:val="multilevel"/>
    <w:tmpl w:val="485E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445F0"/>
    <w:multiLevelType w:val="multilevel"/>
    <w:tmpl w:val="79E2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C321E"/>
    <w:multiLevelType w:val="hybridMultilevel"/>
    <w:tmpl w:val="DCEAAAB2"/>
    <w:lvl w:ilvl="0" w:tplc="20000001">
      <w:start w:val="1"/>
      <w:numFmt w:val="bullet"/>
      <w:lvlText w:val=""/>
      <w:lvlJc w:val="left"/>
      <w:pPr>
        <w:ind w:left="-316" w:hanging="360"/>
      </w:pPr>
      <w:rPr>
        <w:rFonts w:ascii="Symbol" w:hAnsi="Symbol" w:hint="default"/>
      </w:rPr>
    </w:lvl>
    <w:lvl w:ilvl="1" w:tplc="20000003" w:tentative="1">
      <w:start w:val="1"/>
      <w:numFmt w:val="bullet"/>
      <w:lvlText w:val="o"/>
      <w:lvlJc w:val="left"/>
      <w:pPr>
        <w:ind w:left="404" w:hanging="360"/>
      </w:pPr>
      <w:rPr>
        <w:rFonts w:ascii="Courier New" w:hAnsi="Courier New" w:cs="Courier New" w:hint="default"/>
      </w:rPr>
    </w:lvl>
    <w:lvl w:ilvl="2" w:tplc="20000005" w:tentative="1">
      <w:start w:val="1"/>
      <w:numFmt w:val="bullet"/>
      <w:lvlText w:val=""/>
      <w:lvlJc w:val="left"/>
      <w:pPr>
        <w:ind w:left="1124" w:hanging="360"/>
      </w:pPr>
      <w:rPr>
        <w:rFonts w:ascii="Wingdings" w:hAnsi="Wingdings" w:hint="default"/>
      </w:rPr>
    </w:lvl>
    <w:lvl w:ilvl="3" w:tplc="20000001" w:tentative="1">
      <w:start w:val="1"/>
      <w:numFmt w:val="bullet"/>
      <w:lvlText w:val=""/>
      <w:lvlJc w:val="left"/>
      <w:pPr>
        <w:ind w:left="1844" w:hanging="360"/>
      </w:pPr>
      <w:rPr>
        <w:rFonts w:ascii="Symbol" w:hAnsi="Symbol" w:hint="default"/>
      </w:rPr>
    </w:lvl>
    <w:lvl w:ilvl="4" w:tplc="20000003" w:tentative="1">
      <w:start w:val="1"/>
      <w:numFmt w:val="bullet"/>
      <w:lvlText w:val="o"/>
      <w:lvlJc w:val="left"/>
      <w:pPr>
        <w:ind w:left="2564" w:hanging="360"/>
      </w:pPr>
      <w:rPr>
        <w:rFonts w:ascii="Courier New" w:hAnsi="Courier New" w:cs="Courier New" w:hint="default"/>
      </w:rPr>
    </w:lvl>
    <w:lvl w:ilvl="5" w:tplc="20000005" w:tentative="1">
      <w:start w:val="1"/>
      <w:numFmt w:val="bullet"/>
      <w:lvlText w:val=""/>
      <w:lvlJc w:val="left"/>
      <w:pPr>
        <w:ind w:left="3284" w:hanging="360"/>
      </w:pPr>
      <w:rPr>
        <w:rFonts w:ascii="Wingdings" w:hAnsi="Wingdings" w:hint="default"/>
      </w:rPr>
    </w:lvl>
    <w:lvl w:ilvl="6" w:tplc="20000001" w:tentative="1">
      <w:start w:val="1"/>
      <w:numFmt w:val="bullet"/>
      <w:lvlText w:val=""/>
      <w:lvlJc w:val="left"/>
      <w:pPr>
        <w:ind w:left="4004" w:hanging="360"/>
      </w:pPr>
      <w:rPr>
        <w:rFonts w:ascii="Symbol" w:hAnsi="Symbol" w:hint="default"/>
      </w:rPr>
    </w:lvl>
    <w:lvl w:ilvl="7" w:tplc="20000003" w:tentative="1">
      <w:start w:val="1"/>
      <w:numFmt w:val="bullet"/>
      <w:lvlText w:val="o"/>
      <w:lvlJc w:val="left"/>
      <w:pPr>
        <w:ind w:left="4724" w:hanging="360"/>
      </w:pPr>
      <w:rPr>
        <w:rFonts w:ascii="Courier New" w:hAnsi="Courier New" w:cs="Courier New" w:hint="default"/>
      </w:rPr>
    </w:lvl>
    <w:lvl w:ilvl="8" w:tplc="20000005" w:tentative="1">
      <w:start w:val="1"/>
      <w:numFmt w:val="bullet"/>
      <w:lvlText w:val=""/>
      <w:lvlJc w:val="left"/>
      <w:pPr>
        <w:ind w:left="5444" w:hanging="360"/>
      </w:pPr>
      <w:rPr>
        <w:rFonts w:ascii="Wingdings" w:hAnsi="Wingdings" w:hint="default"/>
      </w:rPr>
    </w:lvl>
  </w:abstractNum>
  <w:abstractNum w:abstractNumId="7" w15:restartNumberingAfterBreak="0">
    <w:nsid w:val="34D8087E"/>
    <w:multiLevelType w:val="multilevel"/>
    <w:tmpl w:val="F980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95D36"/>
    <w:multiLevelType w:val="hybridMultilevel"/>
    <w:tmpl w:val="6C86B808"/>
    <w:lvl w:ilvl="0" w:tplc="20000001">
      <w:start w:val="1"/>
      <w:numFmt w:val="bullet"/>
      <w:lvlText w:val=""/>
      <w:lvlJc w:val="left"/>
      <w:pPr>
        <w:ind w:left="779" w:hanging="360"/>
      </w:pPr>
      <w:rPr>
        <w:rFonts w:ascii="Symbol" w:hAnsi="Symbol" w:hint="default"/>
      </w:rPr>
    </w:lvl>
    <w:lvl w:ilvl="1" w:tplc="20000003" w:tentative="1">
      <w:start w:val="1"/>
      <w:numFmt w:val="bullet"/>
      <w:lvlText w:val="o"/>
      <w:lvlJc w:val="left"/>
      <w:pPr>
        <w:ind w:left="1499" w:hanging="360"/>
      </w:pPr>
      <w:rPr>
        <w:rFonts w:ascii="Courier New" w:hAnsi="Courier New" w:cs="Courier New" w:hint="default"/>
      </w:rPr>
    </w:lvl>
    <w:lvl w:ilvl="2" w:tplc="20000005" w:tentative="1">
      <w:start w:val="1"/>
      <w:numFmt w:val="bullet"/>
      <w:lvlText w:val=""/>
      <w:lvlJc w:val="left"/>
      <w:pPr>
        <w:ind w:left="2219" w:hanging="360"/>
      </w:pPr>
      <w:rPr>
        <w:rFonts w:ascii="Wingdings" w:hAnsi="Wingdings" w:hint="default"/>
      </w:rPr>
    </w:lvl>
    <w:lvl w:ilvl="3" w:tplc="20000001" w:tentative="1">
      <w:start w:val="1"/>
      <w:numFmt w:val="bullet"/>
      <w:lvlText w:val=""/>
      <w:lvlJc w:val="left"/>
      <w:pPr>
        <w:ind w:left="2939" w:hanging="360"/>
      </w:pPr>
      <w:rPr>
        <w:rFonts w:ascii="Symbol" w:hAnsi="Symbol" w:hint="default"/>
      </w:rPr>
    </w:lvl>
    <w:lvl w:ilvl="4" w:tplc="20000003" w:tentative="1">
      <w:start w:val="1"/>
      <w:numFmt w:val="bullet"/>
      <w:lvlText w:val="o"/>
      <w:lvlJc w:val="left"/>
      <w:pPr>
        <w:ind w:left="3659" w:hanging="360"/>
      </w:pPr>
      <w:rPr>
        <w:rFonts w:ascii="Courier New" w:hAnsi="Courier New" w:cs="Courier New" w:hint="default"/>
      </w:rPr>
    </w:lvl>
    <w:lvl w:ilvl="5" w:tplc="20000005" w:tentative="1">
      <w:start w:val="1"/>
      <w:numFmt w:val="bullet"/>
      <w:lvlText w:val=""/>
      <w:lvlJc w:val="left"/>
      <w:pPr>
        <w:ind w:left="4379" w:hanging="360"/>
      </w:pPr>
      <w:rPr>
        <w:rFonts w:ascii="Wingdings" w:hAnsi="Wingdings" w:hint="default"/>
      </w:rPr>
    </w:lvl>
    <w:lvl w:ilvl="6" w:tplc="20000001" w:tentative="1">
      <w:start w:val="1"/>
      <w:numFmt w:val="bullet"/>
      <w:lvlText w:val=""/>
      <w:lvlJc w:val="left"/>
      <w:pPr>
        <w:ind w:left="5099" w:hanging="360"/>
      </w:pPr>
      <w:rPr>
        <w:rFonts w:ascii="Symbol" w:hAnsi="Symbol" w:hint="default"/>
      </w:rPr>
    </w:lvl>
    <w:lvl w:ilvl="7" w:tplc="20000003" w:tentative="1">
      <w:start w:val="1"/>
      <w:numFmt w:val="bullet"/>
      <w:lvlText w:val="o"/>
      <w:lvlJc w:val="left"/>
      <w:pPr>
        <w:ind w:left="5819" w:hanging="360"/>
      </w:pPr>
      <w:rPr>
        <w:rFonts w:ascii="Courier New" w:hAnsi="Courier New" w:cs="Courier New" w:hint="default"/>
      </w:rPr>
    </w:lvl>
    <w:lvl w:ilvl="8" w:tplc="20000005" w:tentative="1">
      <w:start w:val="1"/>
      <w:numFmt w:val="bullet"/>
      <w:lvlText w:val=""/>
      <w:lvlJc w:val="left"/>
      <w:pPr>
        <w:ind w:left="6539" w:hanging="360"/>
      </w:pPr>
      <w:rPr>
        <w:rFonts w:ascii="Wingdings" w:hAnsi="Wingdings" w:hint="default"/>
      </w:rPr>
    </w:lvl>
  </w:abstractNum>
  <w:abstractNum w:abstractNumId="9" w15:restartNumberingAfterBreak="0">
    <w:nsid w:val="3A84251B"/>
    <w:multiLevelType w:val="multilevel"/>
    <w:tmpl w:val="80B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45904"/>
    <w:multiLevelType w:val="multilevel"/>
    <w:tmpl w:val="6022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81651"/>
    <w:multiLevelType w:val="multilevel"/>
    <w:tmpl w:val="C16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D64C8"/>
    <w:multiLevelType w:val="multilevel"/>
    <w:tmpl w:val="18FC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350D6"/>
    <w:multiLevelType w:val="multilevel"/>
    <w:tmpl w:val="AE4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265F25"/>
    <w:multiLevelType w:val="hybridMultilevel"/>
    <w:tmpl w:val="A97A2A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E6E13F3"/>
    <w:multiLevelType w:val="hybridMultilevel"/>
    <w:tmpl w:val="FE628AE8"/>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16cid:durableId="1103769970">
    <w:abstractNumId w:val="7"/>
  </w:num>
  <w:num w:numId="2" w16cid:durableId="1471243314">
    <w:abstractNumId w:val="3"/>
  </w:num>
  <w:num w:numId="3" w16cid:durableId="229579295">
    <w:abstractNumId w:val="10"/>
  </w:num>
  <w:num w:numId="4" w16cid:durableId="1143885150">
    <w:abstractNumId w:val="5"/>
  </w:num>
  <w:num w:numId="5" w16cid:durableId="411320661">
    <w:abstractNumId w:val="9"/>
  </w:num>
  <w:num w:numId="6" w16cid:durableId="945960195">
    <w:abstractNumId w:val="15"/>
  </w:num>
  <w:num w:numId="7" w16cid:durableId="333845586">
    <w:abstractNumId w:val="14"/>
  </w:num>
  <w:num w:numId="8" w16cid:durableId="2067101083">
    <w:abstractNumId w:val="4"/>
  </w:num>
  <w:num w:numId="9" w16cid:durableId="1141850623">
    <w:abstractNumId w:val="12"/>
  </w:num>
  <w:num w:numId="10" w16cid:durableId="712118219">
    <w:abstractNumId w:val="2"/>
  </w:num>
  <w:num w:numId="11" w16cid:durableId="463276330">
    <w:abstractNumId w:val="6"/>
  </w:num>
  <w:num w:numId="12" w16cid:durableId="1528716750">
    <w:abstractNumId w:val="11"/>
  </w:num>
  <w:num w:numId="13" w16cid:durableId="1136752041">
    <w:abstractNumId w:val="1"/>
  </w:num>
  <w:num w:numId="14" w16cid:durableId="2133084636">
    <w:abstractNumId w:val="8"/>
  </w:num>
  <w:num w:numId="15" w16cid:durableId="1809469858">
    <w:abstractNumId w:val="13"/>
  </w:num>
  <w:num w:numId="16" w16cid:durableId="193162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D8"/>
    <w:rsid w:val="00003F8E"/>
    <w:rsid w:val="00037A2F"/>
    <w:rsid w:val="00084E6A"/>
    <w:rsid w:val="000B2904"/>
    <w:rsid w:val="000B528C"/>
    <w:rsid w:val="000C483D"/>
    <w:rsid w:val="00152DAA"/>
    <w:rsid w:val="00167A11"/>
    <w:rsid w:val="001F105E"/>
    <w:rsid w:val="002810F4"/>
    <w:rsid w:val="002A303B"/>
    <w:rsid w:val="002B2A76"/>
    <w:rsid w:val="00314150"/>
    <w:rsid w:val="00334D86"/>
    <w:rsid w:val="00382231"/>
    <w:rsid w:val="00393A8C"/>
    <w:rsid w:val="003C2E77"/>
    <w:rsid w:val="00471A9B"/>
    <w:rsid w:val="004915C4"/>
    <w:rsid w:val="004B4BA7"/>
    <w:rsid w:val="00502320"/>
    <w:rsid w:val="00563A0F"/>
    <w:rsid w:val="005951D5"/>
    <w:rsid w:val="00595AE8"/>
    <w:rsid w:val="0075735B"/>
    <w:rsid w:val="007B5287"/>
    <w:rsid w:val="007C4926"/>
    <w:rsid w:val="007C4C88"/>
    <w:rsid w:val="007C65C6"/>
    <w:rsid w:val="0084468F"/>
    <w:rsid w:val="00870003"/>
    <w:rsid w:val="00874611"/>
    <w:rsid w:val="00892E27"/>
    <w:rsid w:val="008C4AFD"/>
    <w:rsid w:val="008E6F6F"/>
    <w:rsid w:val="00904441"/>
    <w:rsid w:val="009D4621"/>
    <w:rsid w:val="009E37EA"/>
    <w:rsid w:val="009E4854"/>
    <w:rsid w:val="00A46F4F"/>
    <w:rsid w:val="00AD22A5"/>
    <w:rsid w:val="00AF0807"/>
    <w:rsid w:val="00B21112"/>
    <w:rsid w:val="00B37728"/>
    <w:rsid w:val="00B84AEC"/>
    <w:rsid w:val="00C10A26"/>
    <w:rsid w:val="00C12349"/>
    <w:rsid w:val="00DA5080"/>
    <w:rsid w:val="00E230EF"/>
    <w:rsid w:val="00E272D2"/>
    <w:rsid w:val="00E5321D"/>
    <w:rsid w:val="00E60749"/>
    <w:rsid w:val="00E76DCA"/>
    <w:rsid w:val="00EE5DFD"/>
    <w:rsid w:val="00EF730B"/>
    <w:rsid w:val="00F20EA0"/>
    <w:rsid w:val="00F25BC8"/>
    <w:rsid w:val="00F26ED8"/>
    <w:rsid w:val="00FA7AF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AB86"/>
  <w15:chartTrackingRefBased/>
  <w15:docId w15:val="{94DB66DA-3F3C-4682-9016-C444718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ED8"/>
    <w:pPr>
      <w:spacing w:before="100" w:beforeAutospacing="1" w:after="100" w:afterAutospacing="1" w:line="240" w:lineRule="auto"/>
    </w:pPr>
    <w:rPr>
      <w:rFonts w:ascii="Times New Roman" w:eastAsia="Times New Roman" w:hAnsi="Times New Roman" w:cs="Times New Roman"/>
      <w:sz w:val="24"/>
      <w:szCs w:val="24"/>
      <w:lang w:eastAsia="en-DK"/>
    </w:rPr>
  </w:style>
  <w:style w:type="table" w:styleId="TableGrid">
    <w:name w:val="Table Grid"/>
    <w:basedOn w:val="TableNormal"/>
    <w:uiPriority w:val="39"/>
    <w:rsid w:val="00F2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A8C"/>
  </w:style>
  <w:style w:type="paragraph" w:styleId="Footer">
    <w:name w:val="footer"/>
    <w:basedOn w:val="Normal"/>
    <w:link w:val="FooterChar"/>
    <w:uiPriority w:val="99"/>
    <w:unhideWhenUsed/>
    <w:rsid w:val="00393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A8C"/>
  </w:style>
  <w:style w:type="paragraph" w:styleId="ListParagraph">
    <w:name w:val="List Paragraph"/>
    <w:basedOn w:val="Normal"/>
    <w:uiPriority w:val="34"/>
    <w:qFormat/>
    <w:rsid w:val="00E2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942">
      <w:bodyDiv w:val="1"/>
      <w:marLeft w:val="0"/>
      <w:marRight w:val="0"/>
      <w:marTop w:val="0"/>
      <w:marBottom w:val="0"/>
      <w:divBdr>
        <w:top w:val="none" w:sz="0" w:space="0" w:color="auto"/>
        <w:left w:val="none" w:sz="0" w:space="0" w:color="auto"/>
        <w:bottom w:val="none" w:sz="0" w:space="0" w:color="auto"/>
        <w:right w:val="none" w:sz="0" w:space="0" w:color="auto"/>
      </w:divBdr>
    </w:div>
    <w:div w:id="400905129">
      <w:bodyDiv w:val="1"/>
      <w:marLeft w:val="0"/>
      <w:marRight w:val="0"/>
      <w:marTop w:val="0"/>
      <w:marBottom w:val="0"/>
      <w:divBdr>
        <w:top w:val="none" w:sz="0" w:space="0" w:color="auto"/>
        <w:left w:val="none" w:sz="0" w:space="0" w:color="auto"/>
        <w:bottom w:val="none" w:sz="0" w:space="0" w:color="auto"/>
        <w:right w:val="none" w:sz="0" w:space="0" w:color="auto"/>
      </w:divBdr>
    </w:div>
    <w:div w:id="455484958">
      <w:bodyDiv w:val="1"/>
      <w:marLeft w:val="0"/>
      <w:marRight w:val="0"/>
      <w:marTop w:val="0"/>
      <w:marBottom w:val="0"/>
      <w:divBdr>
        <w:top w:val="none" w:sz="0" w:space="0" w:color="auto"/>
        <w:left w:val="none" w:sz="0" w:space="0" w:color="auto"/>
        <w:bottom w:val="none" w:sz="0" w:space="0" w:color="auto"/>
        <w:right w:val="none" w:sz="0" w:space="0" w:color="auto"/>
      </w:divBdr>
    </w:div>
    <w:div w:id="509025909">
      <w:bodyDiv w:val="1"/>
      <w:marLeft w:val="0"/>
      <w:marRight w:val="0"/>
      <w:marTop w:val="0"/>
      <w:marBottom w:val="0"/>
      <w:divBdr>
        <w:top w:val="none" w:sz="0" w:space="0" w:color="auto"/>
        <w:left w:val="none" w:sz="0" w:space="0" w:color="auto"/>
        <w:bottom w:val="none" w:sz="0" w:space="0" w:color="auto"/>
        <w:right w:val="none" w:sz="0" w:space="0" w:color="auto"/>
      </w:divBdr>
    </w:div>
    <w:div w:id="802121433">
      <w:bodyDiv w:val="1"/>
      <w:marLeft w:val="0"/>
      <w:marRight w:val="0"/>
      <w:marTop w:val="0"/>
      <w:marBottom w:val="0"/>
      <w:divBdr>
        <w:top w:val="none" w:sz="0" w:space="0" w:color="auto"/>
        <w:left w:val="none" w:sz="0" w:space="0" w:color="auto"/>
        <w:bottom w:val="none" w:sz="0" w:space="0" w:color="auto"/>
        <w:right w:val="none" w:sz="0" w:space="0" w:color="auto"/>
      </w:divBdr>
    </w:div>
    <w:div w:id="1240409169">
      <w:bodyDiv w:val="1"/>
      <w:marLeft w:val="0"/>
      <w:marRight w:val="0"/>
      <w:marTop w:val="0"/>
      <w:marBottom w:val="0"/>
      <w:divBdr>
        <w:top w:val="none" w:sz="0" w:space="0" w:color="auto"/>
        <w:left w:val="none" w:sz="0" w:space="0" w:color="auto"/>
        <w:bottom w:val="none" w:sz="0" w:space="0" w:color="auto"/>
        <w:right w:val="none" w:sz="0" w:space="0" w:color="auto"/>
      </w:divBdr>
    </w:div>
    <w:div w:id="1248078313">
      <w:bodyDiv w:val="1"/>
      <w:marLeft w:val="0"/>
      <w:marRight w:val="0"/>
      <w:marTop w:val="0"/>
      <w:marBottom w:val="0"/>
      <w:divBdr>
        <w:top w:val="none" w:sz="0" w:space="0" w:color="auto"/>
        <w:left w:val="none" w:sz="0" w:space="0" w:color="auto"/>
        <w:bottom w:val="none" w:sz="0" w:space="0" w:color="auto"/>
        <w:right w:val="none" w:sz="0" w:space="0" w:color="auto"/>
      </w:divBdr>
    </w:div>
    <w:div w:id="1340044557">
      <w:bodyDiv w:val="1"/>
      <w:marLeft w:val="0"/>
      <w:marRight w:val="0"/>
      <w:marTop w:val="0"/>
      <w:marBottom w:val="0"/>
      <w:divBdr>
        <w:top w:val="none" w:sz="0" w:space="0" w:color="auto"/>
        <w:left w:val="none" w:sz="0" w:space="0" w:color="auto"/>
        <w:bottom w:val="none" w:sz="0" w:space="0" w:color="auto"/>
        <w:right w:val="none" w:sz="0" w:space="0" w:color="auto"/>
      </w:divBdr>
    </w:div>
    <w:div w:id="20406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8b22a3-4701-4f11-ba26-9326a8f36a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320A80379B9140B7A5004E6F85A46E" ma:contentTypeVersion="16" ma:contentTypeDescription="Opret et nyt dokument." ma:contentTypeScope="" ma:versionID="c7d1bcd8d801377fa4ec90864ed7fd9f">
  <xsd:schema xmlns:xsd="http://www.w3.org/2001/XMLSchema" xmlns:xs="http://www.w3.org/2001/XMLSchema" xmlns:p="http://schemas.microsoft.com/office/2006/metadata/properties" xmlns:ns3="8b8b22a3-4701-4f11-ba26-9326a8f36ace" xmlns:ns4="dfd19a62-98d5-4001-8c7f-42104b8856dc" targetNamespace="http://schemas.microsoft.com/office/2006/metadata/properties" ma:root="true" ma:fieldsID="c6490e3647e7d83ff4c56a31ebed5ca8" ns3:_="" ns4:_="">
    <xsd:import namespace="8b8b22a3-4701-4f11-ba26-9326a8f36ace"/>
    <xsd:import namespace="dfd19a62-98d5-4001-8c7f-42104b8856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_activity"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b22a3-4701-4f11-ba26-9326a8f36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19a62-98d5-4001-8c7f-42104b8856d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B629E-2BCA-4634-B072-75A076478C29}">
  <ds:schemaRefs>
    <ds:schemaRef ds:uri="http://schemas.microsoft.com/office/2006/metadata/properties"/>
    <ds:schemaRef ds:uri="http://schemas.microsoft.com/office/infopath/2007/PartnerControls"/>
    <ds:schemaRef ds:uri="8b8b22a3-4701-4f11-ba26-9326a8f36ace"/>
  </ds:schemaRefs>
</ds:datastoreItem>
</file>

<file path=customXml/itemProps2.xml><?xml version="1.0" encoding="utf-8"?>
<ds:datastoreItem xmlns:ds="http://schemas.openxmlformats.org/officeDocument/2006/customXml" ds:itemID="{97AF535C-883D-4E49-9003-1C8A267A47DA}">
  <ds:schemaRefs>
    <ds:schemaRef ds:uri="http://schemas.microsoft.com/sharepoint/v3/contenttype/forms"/>
  </ds:schemaRefs>
</ds:datastoreItem>
</file>

<file path=customXml/itemProps3.xml><?xml version="1.0" encoding="utf-8"?>
<ds:datastoreItem xmlns:ds="http://schemas.openxmlformats.org/officeDocument/2006/customXml" ds:itemID="{63D6265E-7FCA-40FF-B588-44FDC006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b22a3-4701-4f11-ba26-9326a8f36ace"/>
    <ds:schemaRef ds:uri="dfd19a62-98d5-4001-8c7f-42104b88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3</cp:revision>
  <dcterms:created xsi:type="dcterms:W3CDTF">2024-03-27T12:42:00Z</dcterms:created>
  <dcterms:modified xsi:type="dcterms:W3CDTF">2024-03-27T12:42:00Z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0x0101007A320A80379B9140B7A5004E6F85A46E</vt:lpwstr>
  </property>
</Properties>
</file>